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20" w:after="20"/>
        <w:ind w:left="284" w:firstLine="0"/>
        <w:rPr>
          <w:rFonts w:ascii="Helvetica" w:hAnsi="Helvetica"/>
        </w:rPr>
      </w:pPr>
      <w:r>
        <w:rPr>
          <w:rFonts w:ascii="Helvetica" w:hAnsi="Helvetica"/>
        </w:rPr>
        <w:drawing xmlns:a="http://schemas.openxmlformats.org/drawingml/2006/main">
          <wp:inline distT="0" distB="0" distL="0" distR="0">
            <wp:extent cx="854909" cy="860389"/>
            <wp:effectExtent l="0" t="0" r="0" b="0"/>
            <wp:docPr id="1073741825" name="officeArt object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drawingDescription automatically generated" descr="A picture containing drawing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909" cy="8603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before="20" w:after="20"/>
        <w:ind w:left="284" w:firstLine="0"/>
        <w:jc w:val="center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Board Skills Matrix Assessment Tool</w:t>
      </w:r>
    </w:p>
    <w:p>
      <w:pPr>
        <w:pStyle w:val="Body A"/>
        <w:spacing w:before="20" w:after="20"/>
        <w:ind w:left="284" w:firstLine="0"/>
        <w:jc w:val="center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before="20" w:after="20"/>
        <w:ind w:left="284" w:firstLine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The purpose of this Board skills matrix tool is for you to assess your skills/expertise that you bring to a corporate board to help you articulate your board value proposition. Go through the skills/expertise and rank yourself on a scale of 1 to 3, 3 being the highest level of proficiency (this is where you have expertise). See below in the chart the ranking definitions.</w:t>
      </w:r>
    </w:p>
    <w:p>
      <w:pPr>
        <w:pStyle w:val="Body A"/>
        <w:spacing w:before="20" w:after="20"/>
        <w:ind w:left="284" w:firstLine="0"/>
        <w:rPr>
          <w:rFonts w:ascii="Helvetica" w:cs="Helvetica" w:hAnsi="Helvetica" w:eastAsia="Helvetica"/>
          <w:sz w:val="24"/>
          <w:szCs w:val="24"/>
        </w:rPr>
      </w:pPr>
    </w:p>
    <w:tbl>
      <w:tblPr>
        <w:tblW w:w="9531" w:type="dxa"/>
        <w:jc w:val="left"/>
        <w:tblInd w:w="59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565"/>
        <w:gridCol w:w="2966"/>
      </w:tblGrid>
      <w:tr>
        <w:tblPrEx>
          <w:shd w:val="clear" w:color="auto" w:fill="d0ddef"/>
        </w:tblPrEx>
        <w:trPr>
          <w:trHeight w:val="1488" w:hRule="exact"/>
        </w:trPr>
        <w:tc>
          <w:tcPr>
            <w:tcW w:type="dxa" w:w="65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20" w:after="20"/>
              <w:ind w:left="284" w:firstLine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Skills/Expertise</w:t>
            </w:r>
          </w:p>
        </w:tc>
        <w:tc>
          <w:tcPr>
            <w:tcW w:type="dxa" w:w="2966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Body B"/>
              <w:ind w:left="284" w:firstLine="0"/>
              <w:rPr>
                <w:rFonts w:ascii="Helvetica" w:cs="Helvetica" w:hAnsi="Helvetica" w:eastAsia="Helvetica"/>
                <w:sz w:val="22"/>
                <w:szCs w:val="22"/>
                <w:shd w:val="nil" w:color="auto" w:fill="auto"/>
              </w:rPr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Ranking </w:t>
            </w:r>
          </w:p>
          <w:p>
            <w:pPr>
              <w:pStyle w:val="Body B"/>
              <w:bidi w:val="0"/>
              <w:ind w:left="284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1= no proficiency</w:t>
            </w:r>
          </w:p>
          <w:p>
            <w:pPr>
              <w:pStyle w:val="Body B"/>
              <w:bidi w:val="0"/>
              <w:ind w:left="284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2= some proficiency</w:t>
            </w:r>
          </w:p>
          <w:p>
            <w:pPr>
              <w:pStyle w:val="Body B"/>
              <w:bidi w:val="0"/>
              <w:ind w:left="284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3= expert</w:t>
            </w:r>
          </w:p>
        </w:tc>
      </w:tr>
      <w:tr>
        <w:tblPrEx>
          <w:shd w:val="clear" w:color="auto" w:fill="d0ddef"/>
        </w:tblPrEx>
        <w:trPr>
          <w:trHeight w:val="568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dada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Governance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dad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11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Board Experience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11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Committee Experience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11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Chair Experience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81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dada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Leadership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dad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7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CEO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25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COO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11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ind w:left="284" w:firstLine="0"/>
              <w:outlineLvl w:val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CFO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11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Other C-level roles____________________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11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Senior Management / Partner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81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dada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Relevant Industry Knowledge/Experience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dad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7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Mining &amp; Natural Resources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11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Financial Services 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11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Infrastructure 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Real Estate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40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Oil &amp; gas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54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Consumer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96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Health care, Life Sciences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64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Technology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92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Public sector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83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Other: _________________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81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dada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Finance and Financial Acumen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dad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3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Financial Literacy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85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Accounting Designation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9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Capital Markets / Financings (Debt, Equity, IPO etc.) 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4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M&amp;A (JVs, Take-Over Bids, Arrangements, Going Private)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dada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Operations/Management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dad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Business Development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3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Supply Chain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1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Human Resources / Compensation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3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Global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3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Information Systems / Technology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2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Cyber Security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3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Sales &amp; Marketing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27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Strategic Planning / Leading Growth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3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Enterprise Risk Management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20" w:after="20"/>
        <w:ind w:left="490" w:hanging="490"/>
        <w:rPr>
          <w:rFonts w:ascii="Helvetica" w:cs="Helvetica" w:hAnsi="Helvetica" w:eastAsia="Helvetica"/>
          <w:sz w:val="24"/>
          <w:szCs w:val="24"/>
        </w:rPr>
      </w:pPr>
    </w:p>
    <w:tbl>
      <w:tblPr>
        <w:tblW w:w="9360" w:type="dxa"/>
        <w:jc w:val="left"/>
        <w:tblInd w:w="59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565"/>
        <w:gridCol w:w="2795"/>
      </w:tblGrid>
      <w:tr>
        <w:tblPrEx>
          <w:shd w:val="clear" w:color="auto" w:fill="d0ddef"/>
        </w:tblPrEx>
        <w:trPr>
          <w:trHeight w:val="567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dada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Legal/Government/Environment</w:t>
            </w:r>
          </w:p>
        </w:tc>
        <w:tc>
          <w:tcPr>
            <w:tcW w:type="dxa" w:w="2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dad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3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Corporate Law</w:t>
            </w:r>
          </w:p>
        </w:tc>
        <w:tc>
          <w:tcPr>
            <w:tcW w:type="dxa" w:w="2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81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Securities Law / Regulations</w:t>
            </w:r>
          </w:p>
        </w:tc>
        <w:tc>
          <w:tcPr>
            <w:tcW w:type="dxa" w:w="2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4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Government Policy / Relations</w:t>
            </w:r>
          </w:p>
        </w:tc>
        <w:tc>
          <w:tcPr>
            <w:tcW w:type="dxa" w:w="2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28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Health, Safety &amp; Environment</w:t>
            </w:r>
          </w:p>
        </w:tc>
        <w:tc>
          <w:tcPr>
            <w:tcW w:type="dxa" w:w="2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2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Environmental, Social &amp; Governance (ESG)- Sustainability</w:t>
            </w:r>
          </w:p>
        </w:tc>
        <w:tc>
          <w:tcPr>
            <w:tcW w:type="dxa" w:w="2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3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Other: </w:t>
            </w:r>
          </w:p>
        </w:tc>
        <w:tc>
          <w:tcPr>
            <w:tcW w:type="dxa" w:w="2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52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dada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2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dad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10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Diversity</w:t>
            </w:r>
          </w:p>
        </w:tc>
        <w:tc>
          <w:tcPr>
            <w:tcW w:type="dxa" w:w="2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27" w:hRule="exact"/>
        </w:trPr>
        <w:tc>
          <w:tcPr>
            <w:tcW w:type="dxa" w:w="656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 w:after="20"/>
              <w:ind w:left="284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Other: _________________</w:t>
            </w:r>
          </w:p>
        </w:tc>
        <w:tc>
          <w:tcPr>
            <w:tcW w:type="dxa" w:w="2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20" w:after="20"/>
        <w:ind w:left="490" w:hanging="490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before="20" w:after="20"/>
        <w:ind w:left="382" w:hanging="382"/>
        <w:rPr>
          <w:rFonts w:ascii="Helvetica" w:cs="Helvetica" w:hAnsi="Helvetica" w:eastAsia="Helvetica"/>
          <w:i w:val="1"/>
          <w:iCs w:val="1"/>
          <w:sz w:val="24"/>
          <w:szCs w:val="24"/>
        </w:rPr>
      </w:pPr>
    </w:p>
    <w:p>
      <w:pPr>
        <w:pStyle w:val="Body 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284" w:firstLine="0"/>
        <w:rPr>
          <w:rFonts w:ascii="Helvetica" w:cs="Helvetica" w:hAnsi="Helvetica" w:eastAsia="Helvetica"/>
          <w:sz w:val="20"/>
          <w:szCs w:val="20"/>
        </w:rPr>
      </w:pPr>
    </w:p>
    <w:p>
      <w:pPr>
        <w:pStyle w:val="Body A"/>
        <w:spacing w:before="20" w:after="20"/>
        <w:ind w:left="284" w:firstLine="0"/>
        <w:rPr>
          <w:rFonts w:ascii="Helvetica" w:cs="Helvetica" w:hAnsi="Helvetica" w:eastAsia="Helvetica"/>
          <w:sz w:val="18"/>
          <w:szCs w:val="18"/>
        </w:rPr>
      </w:pPr>
    </w:p>
    <w:p>
      <w:pPr>
        <w:pStyle w:val="Body A"/>
        <w:spacing w:before="20" w:after="20"/>
        <w:ind w:left="284" w:firstLine="0"/>
        <w:rPr>
          <w:rFonts w:ascii="Helvetica" w:cs="Helvetica" w:hAnsi="Helvetica" w:eastAsia="Helvetica"/>
          <w:sz w:val="18"/>
          <w:szCs w:val="18"/>
        </w:rPr>
      </w:pPr>
    </w:p>
    <w:p>
      <w:pPr>
        <w:pStyle w:val="Body A"/>
        <w:widowControl w:val="1"/>
        <w:spacing w:after="200" w:line="276" w:lineRule="auto"/>
        <w:ind w:left="284" w:firstLine="0"/>
        <w:jc w:val="center"/>
        <w:rPr>
          <w:rFonts w:ascii="Helvetica" w:cs="Helvetica" w:hAnsi="Helvetica" w:eastAsia="Helvetica"/>
          <w:i w:val="1"/>
          <w:iCs w:val="1"/>
          <w:sz w:val="18"/>
          <w:szCs w:val="18"/>
        </w:rPr>
      </w:pPr>
      <w:r>
        <w:rPr>
          <w:rFonts w:ascii="Helvetica" w:hAnsi="Helvetica"/>
          <w:i w:val="1"/>
          <w:iCs w:val="1"/>
          <w:sz w:val="18"/>
          <w:szCs w:val="18"/>
          <w:rtl w:val="0"/>
          <w:lang w:val="en-US"/>
        </w:rPr>
        <w:t xml:space="preserve">Women Get On Board Inc. </w:t>
      </w:r>
      <w:r>
        <w:rPr>
          <w:rFonts w:ascii="Helvetica" w:hAnsi="Helvetica" w:hint="default"/>
          <w:i w:val="1"/>
          <w:iCs w:val="1"/>
          <w:sz w:val="18"/>
          <w:szCs w:val="18"/>
          <w:rtl w:val="0"/>
          <w:lang w:val="en-US"/>
        </w:rPr>
        <w:t xml:space="preserve">© </w:t>
      </w:r>
      <w:r>
        <w:rPr>
          <w:rFonts w:ascii="Helvetica" w:hAnsi="Helvetica"/>
          <w:i w:val="1"/>
          <w:iCs w:val="1"/>
          <w:sz w:val="18"/>
          <w:szCs w:val="18"/>
          <w:rtl w:val="0"/>
          <w:lang w:val="en-US"/>
        </w:rPr>
        <w:t>2023</w:t>
      </w:r>
    </w:p>
    <w:p>
      <w:pPr>
        <w:pStyle w:val="Body A"/>
        <w:spacing w:before="20" w:after="20"/>
        <w:ind w:left="284" w:firstLine="0"/>
        <w:rPr>
          <w:rFonts w:ascii="Helvetica" w:cs="Helvetica" w:hAnsi="Helvetica" w:eastAsia="Helvetica"/>
          <w:sz w:val="18"/>
          <w:szCs w:val="18"/>
        </w:rPr>
      </w:pPr>
    </w:p>
    <w:p>
      <w:pPr>
        <w:pStyle w:val="Body A"/>
        <w:spacing w:before="20" w:after="20"/>
        <w:ind w:left="284" w:firstLine="0"/>
        <w:rPr>
          <w:rFonts w:ascii="Helvetica" w:cs="Helvetica" w:hAnsi="Helvetica" w:eastAsia="Helvetica"/>
          <w:sz w:val="18"/>
          <w:szCs w:val="18"/>
        </w:rPr>
      </w:pPr>
    </w:p>
    <w:p>
      <w:pPr>
        <w:pStyle w:val="Body A"/>
        <w:spacing w:before="20" w:after="20"/>
        <w:ind w:left="284" w:firstLine="0"/>
      </w:pPr>
      <w:r>
        <w:rPr>
          <w:rFonts w:ascii="Helvetica" w:cs="Helvetica" w:hAnsi="Helvetica" w:eastAsia="Helvetica"/>
          <w:sz w:val="18"/>
          <w:szCs w:val="18"/>
        </w:rPr>
        <w:br w:type="textWrapping"/>
      </w:r>
    </w:p>
    <w:sectPr>
      <w:headerReference w:type="default" r:id="rId5"/>
      <w:footerReference w:type="default" r:id="rId6"/>
      <w:pgSz w:w="12240" w:h="15840" w:orient="portrait"/>
      <w:pgMar w:top="1510" w:right="1440" w:bottom="913" w:left="101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