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9.0 -->
  <w:body>
    <w:p>
      <w:pPr>
        <w:sectPr>
          <w:headerReference w:type="default" r:id="rId5"/>
          <w:footerReference w:type="default" r:id="rId6"/>
          <w:footerReference w:type="first" r:id="rId7"/>
          <w:pgSz w:w="12240" w:h="15840"/>
          <w:pgMar w:top="840" w:right="1000" w:bottom="840" w:left="1000" w:header="400" w:footer="400"/>
          <w:pgNumType w:fmt="decimal"/>
          <w:cols w:space="720"/>
          <w:titlePg/>
        </w:sectPr>
      </w:pPr>
    </w:p>
    <w:p>
      <w:bookmarkStart w:id="0" w:name="Bookmark_1"/>
      <w:bookmarkEnd w:id="0"/>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xisNexis®" style="width:147.75pt;height:30pt">
            <v:imagedata r:id="rId8" o:title=""/>
          </v:shape>
        </w:pict>
      </w:r>
      <w:r>
        <w:cr/>
      </w:r>
    </w:p>
    <w:p>
      <w:pPr>
        <w:pStyle w:val="Heading1"/>
        <w:keepNext w:val="0"/>
        <w:widowControl w:val="0"/>
        <w:spacing w:after="200" w:line="340" w:lineRule="atLeast"/>
        <w:ind w:left="0" w:right="0" w:firstLine="0"/>
        <w:jc w:val="center"/>
      </w:pPr>
      <w:hyperlink r:id="rId9" w:history="1">
        <w:r>
          <w:rPr>
            <w:rFonts w:ascii="times" w:eastAsia="times" w:hAnsi="times" w:cs="times"/>
            <w:b/>
            <w:i w:val="0"/>
            <w:strike w:val="0"/>
            <w:color w:val="0077CC"/>
            <w:sz w:val="28"/>
            <w:u w:val="single"/>
            <w:shd w:val="clear" w:color="auto" w:fill="FFFFFF"/>
            <w:vertAlign w:val="baseline"/>
          </w:rPr>
          <w:t>Alexander v. Carrington Mortg. Servs., LLC</w:t>
        </w:r>
      </w:hyperlink>
    </w:p>
    <w:p>
      <w:pPr>
        <w:keepNext w:val="0"/>
        <w:widowControl w:val="0"/>
        <w:spacing w:before="120" w:after="0" w:line="260" w:lineRule="atLeast"/>
        <w:ind w:left="0" w:right="0" w:firstLine="0"/>
        <w:jc w:val="center"/>
      </w:pPr>
      <w:r>
        <w:rPr>
          <w:rFonts w:ascii="times" w:eastAsia="times" w:hAnsi="times" w:cs="times"/>
          <w:b w:val="0"/>
          <w:i w:val="0"/>
          <w:strike w:val="0"/>
          <w:noProof w:val="0"/>
          <w:color w:val="000000"/>
          <w:position w:val="0"/>
          <w:sz w:val="20"/>
          <w:u w:val="none"/>
          <w:vertAlign w:val="baseline"/>
        </w:rPr>
        <w:t>United States Court of Appeals for the Fourth Circuit</w:t>
      </w:r>
    </w:p>
    <w:p>
      <w:pPr>
        <w:keepNext w:val="0"/>
        <w:widowControl w:val="0"/>
        <w:spacing w:before="120" w:after="0" w:line="260" w:lineRule="atLeast"/>
        <w:ind w:left="0" w:right="0" w:firstLine="0"/>
        <w:jc w:val="center"/>
      </w:pPr>
      <w:r>
        <w:rPr>
          <w:rFonts w:ascii="times" w:eastAsia="times" w:hAnsi="times" w:cs="times"/>
          <w:b w:val="0"/>
          <w:i w:val="0"/>
          <w:strike w:val="0"/>
          <w:noProof w:val="0"/>
          <w:color w:val="000000"/>
          <w:position w:val="0"/>
          <w:sz w:val="20"/>
          <w:u w:val="none"/>
          <w:vertAlign w:val="baseline"/>
        </w:rPr>
        <w:t>December 8, 2021, Argued; January 19, 2022, Decided</w:t>
      </w:r>
    </w:p>
    <w:p>
      <w:pPr>
        <w:keepNext w:val="0"/>
        <w:widowControl w:val="0"/>
        <w:spacing w:before="120" w:after="0" w:line="260" w:lineRule="atLeast"/>
        <w:ind w:left="0" w:right="0" w:firstLine="0"/>
        <w:jc w:val="center"/>
        <w:sectPr>
          <w:type w:val="continuous"/>
          <w:pgMar w:top="840" w:right="1000" w:bottom="840" w:left="1000" w:header="400" w:footer="400"/>
          <w:pgNumType w:fmt="decimal"/>
          <w:cols w:num="1" w:space="240" w:equalWidth="1"/>
        </w:sectPr>
      </w:pPr>
      <w:r>
        <w:rPr>
          <w:rFonts w:ascii="times" w:eastAsia="times" w:hAnsi="times" w:cs="times"/>
          <w:b w:val="0"/>
          <w:i w:val="0"/>
          <w:strike w:val="0"/>
          <w:noProof w:val="0"/>
          <w:color w:val="000000"/>
          <w:position w:val="0"/>
          <w:sz w:val="20"/>
          <w:u w:val="none"/>
          <w:vertAlign w:val="baseline"/>
        </w:rPr>
        <w:t>No. 20-2359</w:t>
      </w:r>
    </w:p>
    <w:p>
      <w:pPr>
        <w:keepNext w:val="0"/>
        <w:widowControl w:val="0"/>
        <w:spacing w:after="0" w:line="240" w:lineRule="atLeast"/>
        <w:ind w:right="0"/>
        <w:jc w:val="both"/>
      </w:pPr>
    </w:p>
    <w:p>
      <w:pPr>
        <w:keepNext w:val="0"/>
        <w:widowControl w:val="0"/>
        <w:spacing w:before="200" w:after="0" w:line="240" w:lineRule="atLeast"/>
        <w:ind w:left="0" w:right="0" w:firstLine="0"/>
        <w:jc w:val="left"/>
      </w:pPr>
      <w:bookmarkStart w:id="1" w:name="Reporter"/>
      <w:bookmarkEnd w:id="1"/>
      <w:r>
        <w:rPr>
          <w:rFonts w:ascii="times" w:eastAsia="times" w:hAnsi="times" w:cs="times"/>
          <w:b/>
          <w:i w:val="0"/>
          <w:strike w:val="0"/>
          <w:noProof w:val="0"/>
          <w:color w:val="000000"/>
          <w:position w:val="0"/>
          <w:sz w:val="18"/>
          <w:u w:val="none"/>
          <w:vertAlign w:val="baseline"/>
        </w:rPr>
        <w:t>Reporter</w:t>
      </w:r>
    </w:p>
    <w:p>
      <w:pPr>
        <w:keepNext w:val="0"/>
        <w:widowControl w:val="0"/>
        <w:spacing w:after="0" w:line="240" w:lineRule="atLeast"/>
        <w:ind w:left="0" w:right="0" w:firstLine="0"/>
        <w:jc w:val="left"/>
        <w:sectPr>
          <w:type w:val="continuous"/>
          <w:pgMar w:top="840" w:right="1000" w:bottom="840" w:left="1000" w:header="400" w:footer="400"/>
          <w:pgNumType w:fmt="decimal"/>
          <w:cols w:num="1" w:space="240" w:equalWidth="1"/>
        </w:sectPr>
      </w:pPr>
      <w:r>
        <w:rPr>
          <w:rFonts w:ascii="times" w:eastAsia="times" w:hAnsi="times" w:cs="times"/>
          <w:b w:val="0"/>
          <w:i w:val="0"/>
          <w:strike w:val="0"/>
          <w:noProof w:val="0"/>
          <w:color w:val="000000"/>
          <w:position w:val="0"/>
          <w:sz w:val="18"/>
          <w:u w:val="none"/>
          <w:vertAlign w:val="baseline"/>
        </w:rPr>
        <w:t>2022 U.S. App. LEXIS 1549 *</w:t>
      </w:r>
      <w:r>
        <w:rPr>
          <w:rFonts w:ascii="times" w:eastAsia="times" w:hAnsi="times" w:cs="times"/>
          <w:b w:val="0"/>
          <w:i w:val="0"/>
          <w:strike w:val="0"/>
          <w:noProof w:val="0"/>
          <w:color w:val="000000"/>
          <w:position w:val="0"/>
          <w:sz w:val="18"/>
          <w:u w:val="none"/>
          <w:vertAlign w:val="baseline"/>
        </w:rPr>
        <w:t xml:space="preserve">; </w:t>
      </w:r>
      <w:r>
        <w:rPr>
          <w:rFonts w:ascii="times" w:eastAsia="times" w:hAnsi="times" w:cs="times"/>
          <w:b w:val="0"/>
          <w:i w:val="0"/>
          <w:strike w:val="0"/>
          <w:noProof w:val="0"/>
          <w:color w:val="000000"/>
          <w:position w:val="0"/>
          <w:sz w:val="18"/>
          <w:u w:val="none"/>
          <w:vertAlign w:val="baseline"/>
        </w:rPr>
        <w:t>23 F.4th 370</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ASHLY ALEXANDER; CEDRIC BISHOP, On behalf of themselves individually and similarly situated persons, Plaintiffs — Appellants, v. CARRINGTON MORTGAGE SERVICES, LLC, Defendant — Appellee.</w:t>
      </w:r>
    </w:p>
    <w:p>
      <w:pPr>
        <w:keepNext w:val="0"/>
        <w:widowControl w:val="0"/>
        <w:spacing w:before="240" w:after="0" w:line="260" w:lineRule="atLeast"/>
        <w:ind w:left="0" w:right="0" w:firstLine="0"/>
        <w:jc w:val="both"/>
      </w:pPr>
      <w:bookmarkStart w:id="2" w:name="Notice"/>
      <w:bookmarkEnd w:id="2"/>
      <w:r>
        <w:rPr>
          <w:rFonts w:ascii="times" w:eastAsia="times" w:hAnsi="times" w:cs="times"/>
          <w:b/>
          <w:i w:val="0"/>
          <w:strike w:val="0"/>
          <w:noProof w:val="0"/>
          <w:color w:val="000000"/>
          <w:position w:val="0"/>
          <w:sz w:val="20"/>
          <w:u w:val="none"/>
          <w:vertAlign w:val="baseline"/>
        </w:rPr>
        <w:t>Notice:</w:t>
      </w:r>
      <w:r>
        <w:rPr>
          <w:rFonts w:ascii="times" w:eastAsia="times" w:hAnsi="times" w:cs="times"/>
          <w:b w:val="0"/>
          <w:i w:val="0"/>
          <w:strike w:val="0"/>
          <w:noProof w:val="0"/>
          <w:color w:val="000000"/>
          <w:position w:val="0"/>
          <w:sz w:val="20"/>
          <w:u w:val="none"/>
          <w:vertAlign w:val="baseline"/>
        </w:rPr>
        <w:t> </w:t>
      </w:r>
      <w:bookmarkStart w:id="3" w:name="Bookmark_para_1"/>
      <w:bookmarkEnd w:id="3"/>
      <w:r>
        <w:rPr>
          <w:rFonts w:ascii="times" w:eastAsia="times" w:hAnsi="times" w:cs="times"/>
          <w:b w:val="0"/>
          <w:i w:val="0"/>
          <w:strike w:val="0"/>
          <w:noProof w:val="0"/>
          <w:color w:val="000000"/>
          <w:position w:val="0"/>
          <w:sz w:val="20"/>
          <w:u w:val="none"/>
          <w:vertAlign w:val="baseline"/>
        </w:rPr>
        <w:t xml:space="preserve">PLEASE REFER TO </w:t>
      </w:r>
      <w:r>
        <w:rPr>
          <w:rFonts w:ascii="times" w:eastAsia="times" w:hAnsi="times" w:cs="times"/>
          <w:b w:val="0"/>
          <w:i w:val="0"/>
          <w:strike w:val="0"/>
          <w:noProof w:val="0"/>
          <w:color w:val="000000"/>
          <w:position w:val="0"/>
          <w:sz w:val="20"/>
          <w:u w:val="none"/>
          <w:vertAlign w:val="baseline"/>
        </w:rPr>
        <w:t>FEDERAL RULES OF APPELLATE PROCEDURE RULE 32.1</w:t>
      </w:r>
      <w:r>
        <w:rPr>
          <w:rFonts w:ascii="times" w:eastAsia="times" w:hAnsi="times" w:cs="times"/>
          <w:b w:val="0"/>
          <w:i w:val="0"/>
          <w:strike w:val="0"/>
          <w:noProof w:val="0"/>
          <w:color w:val="000000"/>
          <w:position w:val="0"/>
          <w:sz w:val="20"/>
          <w:u w:val="none"/>
          <w:vertAlign w:val="baseline"/>
        </w:rPr>
        <w:t xml:space="preserve"> GOVERNING THE CITATION TO UNPUBLISHED OPINIONS.</w:t>
      </w:r>
    </w:p>
    <w:p>
      <w:pPr>
        <w:keepNext w:val="0"/>
        <w:widowControl w:val="0"/>
        <w:spacing w:before="240" w:after="0" w:line="260" w:lineRule="atLeast"/>
        <w:ind w:left="0" w:right="0" w:firstLine="0"/>
        <w:jc w:val="left"/>
      </w:pPr>
      <w:bookmarkStart w:id="4" w:name="Subsequent History"/>
      <w:bookmarkEnd w:id="4"/>
      <w:r>
        <w:rPr>
          <w:rFonts w:ascii="times" w:eastAsia="times" w:hAnsi="times" w:cs="times"/>
          <w:b/>
          <w:i w:val="0"/>
          <w:strike w:val="0"/>
          <w:noProof w:val="0"/>
          <w:color w:val="000000"/>
          <w:position w:val="0"/>
          <w:sz w:val="20"/>
          <w:u w:val="none"/>
          <w:vertAlign w:val="baseline"/>
        </w:rPr>
        <w:t>Subsequent History:</w:t>
      </w:r>
      <w:r>
        <w:rPr>
          <w:rFonts w:ascii="times" w:eastAsia="times" w:hAnsi="times" w:cs="times"/>
          <w:b w:val="0"/>
          <w:i w:val="0"/>
          <w:strike w:val="0"/>
          <w:noProof w:val="0"/>
          <w:color w:val="000000"/>
          <w:position w:val="0"/>
          <w:sz w:val="20"/>
          <w:u w:val="none"/>
          <w:vertAlign w:val="baseline"/>
        </w:rPr>
        <w:t xml:space="preserve"> Rehearing denied by, En banc, Rehearing denied by </w:t>
      </w:r>
      <w:hyperlink r:id="rId10" w:history="1">
        <w:r>
          <w:rPr>
            <w:rFonts w:ascii="times" w:eastAsia="times" w:hAnsi="times" w:cs="times"/>
            <w:b w:val="0"/>
            <w:i w:val="0"/>
            <w:strike w:val="0"/>
            <w:noProof w:val="0"/>
            <w:color w:val="0077CC"/>
            <w:position w:val="0"/>
            <w:sz w:val="20"/>
            <w:u w:val="single"/>
            <w:shd w:val="clear" w:color="auto" w:fill="FFFFFF"/>
            <w:vertAlign w:val="baseline"/>
          </w:rPr>
          <w:t>Alexander v. Carrington Mortg. Servs., 2022 U.S. App. LEXIS 4157 (4th Cir., Feb. 15, 2022)</w:t>
        </w:r>
      </w:hyperlink>
    </w:p>
    <w:p>
      <w:pPr>
        <w:keepNext w:val="0"/>
        <w:widowControl w:val="0"/>
        <w:spacing w:before="240" w:after="0" w:line="260" w:lineRule="atLeast"/>
        <w:ind w:left="0" w:right="0" w:firstLine="0"/>
        <w:jc w:val="both"/>
      </w:pPr>
      <w:bookmarkStart w:id="5" w:name="Prior History"/>
      <w:bookmarkEnd w:id="5"/>
      <w:r>
        <w:rPr>
          <w:rFonts w:ascii="times" w:eastAsia="times" w:hAnsi="times" w:cs="times"/>
          <w:b/>
          <w:i w:val="0"/>
          <w:strike w:val="0"/>
          <w:noProof w:val="0"/>
          <w:color w:val="000000"/>
          <w:position w:val="0"/>
          <w:sz w:val="20"/>
          <w:u w:val="none"/>
          <w:vertAlign w:val="baseline"/>
        </w:rPr>
        <w:t>Prior History:</w:t>
      </w:r>
      <w:r>
        <w:rPr>
          <w:rFonts w:ascii="times" w:eastAsia="times" w:hAnsi="times" w:cs="times"/>
          <w:b w:val="0"/>
          <w:i w:val="0"/>
          <w:strike w:val="0"/>
          <w:noProof w:val="0"/>
          <w:color w:val="000000"/>
          <w:position w:val="0"/>
          <w:sz w:val="20"/>
          <w:u w:val="none"/>
          <w:vertAlign w:val="baseline"/>
        </w:rPr>
        <w:t> </w:t>
      </w:r>
      <w:bookmarkStart w:id="6" w:name="Bookmark_para_2"/>
      <w:bookmarkEnd w:id="6"/>
      <w:r>
        <w:rPr>
          <w:rFonts w:ascii="times" w:eastAsia="times" w:hAnsi="times" w:cs="times"/>
          <w:b/>
          <w:i w:val="0"/>
          <w:strike w:val="0"/>
          <w:noProof w:val="0"/>
          <w:color w:val="000000"/>
          <w:position w:val="0"/>
          <w:sz w:val="20"/>
          <w:u w:val="none"/>
          <w:vertAlign w:val="baseline"/>
        </w:rPr>
        <w:t> [*1] </w:t>
      </w:r>
      <w:r>
        <w:rPr>
          <w:rFonts w:ascii="times" w:eastAsia="times" w:hAnsi="times" w:cs="times"/>
          <w:b w:val="0"/>
          <w:i w:val="0"/>
          <w:strike w:val="0"/>
          <w:noProof w:val="0"/>
          <w:color w:val="000000"/>
          <w:position w:val="0"/>
          <w:sz w:val="20"/>
          <w:u w:val="none"/>
          <w:vertAlign w:val="baseline"/>
        </w:rPr>
        <w:t>Appeal from the United States District Court for the District of Maryland, at Baltimore. (1:20-cv-02369-RDB). Richard D. Bennett, Senior District Judge.</w:t>
      </w:r>
    </w:p>
    <w:p>
      <w:pPr>
        <w:keepNext w:val="0"/>
        <w:widowControl w:val="0"/>
        <w:spacing w:before="240" w:after="0" w:line="260" w:lineRule="atLeast"/>
        <w:ind w:left="0" w:right="0" w:firstLine="0"/>
        <w:jc w:val="left"/>
      </w:pPr>
      <w:r>
        <w:br/>
      </w:r>
      <w:hyperlink r:id="rId11" w:history="1">
        <w:r>
          <w:rPr>
            <w:rFonts w:ascii="times" w:eastAsia="times" w:hAnsi="times" w:cs="times"/>
            <w:b w:val="0"/>
            <w:i w:val="0"/>
            <w:strike w:val="0"/>
            <w:color w:val="0077CC"/>
            <w:sz w:val="20"/>
            <w:u w:val="single"/>
            <w:shd w:val="clear" w:color="auto" w:fill="FFFFFF"/>
            <w:vertAlign w:val="baseline"/>
          </w:rPr>
          <w:t>Bishop v. Carrington Mortg. Servs., LLC, 2020 U.S. Dist. LEXIS 233322, 2020 WL 7319252 (D. Md., Dec. 11, 2020)</w:t>
        </w:r>
      </w:hyperlink>
    </w:p>
    <w:p>
      <w:pPr>
        <w:keepNext w:val="0"/>
        <w:widowControl w:val="0"/>
        <w:spacing w:before="240" w:after="0" w:line="260" w:lineRule="atLeast"/>
        <w:ind w:left="0" w:right="0" w:firstLine="0"/>
        <w:jc w:val="both"/>
      </w:pPr>
      <w:bookmarkStart w:id="7" w:name="Disposition"/>
      <w:bookmarkEnd w:id="7"/>
      <w:r>
        <w:rPr>
          <w:rFonts w:ascii="times" w:eastAsia="times" w:hAnsi="times" w:cs="times"/>
          <w:b/>
          <w:i w:val="0"/>
          <w:strike w:val="0"/>
          <w:noProof w:val="0"/>
          <w:color w:val="000000"/>
          <w:position w:val="0"/>
          <w:sz w:val="20"/>
          <w:u w:val="none"/>
          <w:vertAlign w:val="baseline"/>
        </w:rPr>
        <w:t>Disposition:</w:t>
      </w:r>
      <w:r>
        <w:rPr>
          <w:rFonts w:ascii="times" w:eastAsia="times" w:hAnsi="times" w:cs="times"/>
          <w:b w:val="0"/>
          <w:i w:val="0"/>
          <w:strike w:val="0"/>
          <w:noProof w:val="0"/>
          <w:color w:val="000000"/>
          <w:position w:val="0"/>
          <w:sz w:val="20"/>
          <w:u w:val="none"/>
          <w:vertAlign w:val="baseline"/>
        </w:rPr>
        <w:t> </w:t>
      </w:r>
      <w:bookmarkStart w:id="8" w:name="Bookmark_clspara_4"/>
      <w:bookmarkEnd w:id="8"/>
      <w:r>
        <w:rPr>
          <w:rFonts w:ascii="times" w:eastAsia="times" w:hAnsi="times" w:cs="times"/>
          <w:b w:val="0"/>
          <w:i w:val="0"/>
          <w:strike w:val="0"/>
          <w:noProof w:val="0"/>
          <w:color w:val="000000"/>
          <w:position w:val="0"/>
          <w:sz w:val="20"/>
          <w:u w:val="none"/>
          <w:vertAlign w:val="baseline"/>
        </w:rPr>
        <w:t>AFFIRMED IN PART, REVERSED IN PART, VACATED IN PART, AND REMANDED.</w:t>
      </w:r>
    </w:p>
    <w:p>
      <w:pPr>
        <w:keepNext w:val="0"/>
        <w:widowControl w:val="0"/>
        <w:spacing w:before="240" w:after="0" w:line="260" w:lineRule="atLeast"/>
        <w:ind w:left="0" w:right="0" w:firstLine="0"/>
        <w:jc w:val="left"/>
      </w:pPr>
      <w:bookmarkStart w:id="9" w:name="Counsel"/>
      <w:bookmarkEnd w:id="9"/>
      <w:r>
        <w:rPr>
          <w:rFonts w:ascii="times" w:eastAsia="times" w:hAnsi="times" w:cs="times"/>
          <w:b/>
          <w:i w:val="0"/>
          <w:strike w:val="0"/>
          <w:noProof w:val="0"/>
          <w:color w:val="000000"/>
          <w:position w:val="0"/>
          <w:sz w:val="20"/>
          <w:u w:val="none"/>
          <w:vertAlign w:val="baseline"/>
        </w:rPr>
        <w:t>Counsel:</w:t>
      </w:r>
      <w:r>
        <w:rPr>
          <w:rFonts w:ascii="times" w:eastAsia="times" w:hAnsi="times" w:cs="times"/>
          <w:b w:val="0"/>
          <w:i w:val="0"/>
          <w:strike w:val="0"/>
          <w:noProof w:val="0"/>
          <w:color w:val="000000"/>
          <w:position w:val="0"/>
          <w:sz w:val="20"/>
          <w:u w:val="none"/>
          <w:vertAlign w:val="baseline"/>
        </w:rPr>
        <w:t> ARGUED: Hassan A. Zavareei, TYCKO &amp; ZAVAREEI LLP, Washington, D.C., for Appellants.</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Fredrick S. Levin, BUCKLEY LLP, Santa Monica, California, for Appellee.</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ON BRIEF: Phillip R. Robinson, CONSUMER LAW CENTER, LLC, Silver Spring, Maryland; Dia Rasinariu, TYCKO &amp; ZAVAREEI LLP, Washington, D.C.; Patricia M. Kipnis, BAILEY GLASSER LLP, Cherry Hill, New Jersey, for Appellants.</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Sarah B. Meehan, BUCKLEY LLP, Washington, D.C., for Appellee.</w:t>
      </w:r>
    </w:p>
    <w:p>
      <w:pPr>
        <w:keepNext w:val="0"/>
        <w:widowControl w:val="0"/>
        <w:spacing w:before="240" w:after="0" w:line="260" w:lineRule="atLeast"/>
        <w:ind w:left="0" w:right="0" w:firstLine="0"/>
        <w:jc w:val="left"/>
      </w:pPr>
      <w:bookmarkStart w:id="10" w:name="Judges"/>
      <w:bookmarkEnd w:id="10"/>
      <w:r>
        <w:rPr>
          <w:rFonts w:ascii="times" w:eastAsia="times" w:hAnsi="times" w:cs="times"/>
          <w:b/>
          <w:i w:val="0"/>
          <w:strike w:val="0"/>
          <w:noProof w:val="0"/>
          <w:color w:val="000000"/>
          <w:position w:val="0"/>
          <w:sz w:val="20"/>
          <w:u w:val="none"/>
          <w:vertAlign w:val="baseline"/>
        </w:rPr>
        <w:t>Judges:</w:t>
      </w:r>
      <w:r>
        <w:rPr>
          <w:rFonts w:ascii="times" w:eastAsia="times" w:hAnsi="times" w:cs="times"/>
          <w:b w:val="0"/>
          <w:i w:val="0"/>
          <w:strike w:val="0"/>
          <w:noProof w:val="0"/>
          <w:color w:val="000000"/>
          <w:position w:val="0"/>
          <w:sz w:val="20"/>
          <w:u w:val="none"/>
          <w:vertAlign w:val="baseline"/>
        </w:rPr>
        <w:t> Before WILKINSON, KING, and DIAZ, Circuit Judges. Judge Wilkinson wrote the opinion, in which Judge King and Judge Diaz joined.</w:t>
      </w:r>
    </w:p>
    <w:p>
      <w:pPr>
        <w:keepNext w:val="0"/>
        <w:widowControl w:val="0"/>
        <w:spacing w:before="240" w:after="0" w:line="260" w:lineRule="atLeast"/>
        <w:ind w:left="0" w:right="0" w:firstLine="0"/>
        <w:jc w:val="left"/>
      </w:pPr>
      <w:bookmarkStart w:id="11" w:name="Opinion by"/>
      <w:bookmarkEnd w:id="11"/>
      <w:r>
        <w:rPr>
          <w:rFonts w:ascii="times" w:eastAsia="times" w:hAnsi="times" w:cs="times"/>
          <w:b/>
          <w:i w:val="0"/>
          <w:strike w:val="0"/>
          <w:noProof w:val="0"/>
          <w:color w:val="000000"/>
          <w:position w:val="0"/>
          <w:sz w:val="20"/>
          <w:u w:val="none"/>
          <w:vertAlign w:val="baseline"/>
        </w:rPr>
        <w:t>Opinion by:</w:t>
      </w:r>
      <w:r>
        <w:rPr>
          <w:rFonts w:ascii="times" w:eastAsia="times" w:hAnsi="times" w:cs="times"/>
          <w:b w:val="0"/>
          <w:i w:val="0"/>
          <w:strike w:val="0"/>
          <w:noProof w:val="0"/>
          <w:color w:val="000000"/>
          <w:position w:val="0"/>
          <w:sz w:val="20"/>
          <w:u w:val="none"/>
          <w:vertAlign w:val="baseline"/>
        </w:rPr>
        <w:t> WILKINSON</w:t>
      </w:r>
    </w:p>
    <w:p>
      <w:pPr>
        <w:keepNext/>
        <w:widowControl w:val="0"/>
        <w:spacing w:before="240" w:after="0" w:line="340" w:lineRule="atLeast"/>
        <w:ind w:left="0" w:right="0" w:firstLine="0"/>
        <w:jc w:val="left"/>
      </w:pPr>
      <w:bookmarkStart w:id="12" w:name="Opinion"/>
      <w:bookmarkEnd w:id="12"/>
      <w:r>
        <w:rPr>
          <w:rFonts w:ascii="times" w:eastAsia="times" w:hAnsi="times" w:cs="times"/>
          <w:b/>
          <w:i w:val="0"/>
          <w:strike w:val="0"/>
          <w:noProof w:val="0"/>
          <w:color w:val="000000"/>
          <w:position w:val="0"/>
          <w:sz w:val="28"/>
          <w:u w:val="none"/>
          <w:vertAlign w:val="baseline"/>
        </w:rPr>
        <w:t>Opinion</w:t>
      </w:r>
    </w:p>
    <w:p>
      <w:pPr>
        <w:spacing w:line="60" w:lineRule="exact"/>
      </w:pPr>
      <w:r>
        <w:pict>
          <v:line id="_x0000_s1026" style="position:absolute;z-index:251658240" from="0,2pt" to="251pt,2pt" strokecolor="#009ddb" strokeweight="2pt">
            <v:stroke linestyle="single"/>
            <w10:wrap type="topAndBottom"/>
          </v:line>
        </w:pict>
      </w:r>
    </w:p>
    <w:p/>
    <w:p>
      <w:pPr>
        <w:keepNext w:val="0"/>
        <w:widowControl w:val="0"/>
        <w:spacing w:before="200" w:after="0" w:line="260" w:lineRule="atLeast"/>
        <w:ind w:left="0" w:right="0" w:firstLine="0"/>
        <w:jc w:val="both"/>
      </w:pPr>
      <w:bookmarkStart w:id="13" w:name="Bookmark_para_3"/>
      <w:bookmarkEnd w:id="13"/>
      <w:r>
        <w:rPr>
          <w:rFonts w:ascii="times" w:eastAsia="times" w:hAnsi="times" w:cs="times"/>
          <w:b w:val="0"/>
          <w:i w:val="0"/>
          <w:strike w:val="0"/>
          <w:noProof w:val="0"/>
          <w:color w:val="000000"/>
          <w:position w:val="0"/>
          <w:sz w:val="20"/>
          <w:u w:val="none"/>
          <w:vertAlign w:val="baseline"/>
        </w:rPr>
        <w:t>WILKINSON, Circuit Judge:</w:t>
      </w:r>
    </w:p>
    <w:p>
      <w:pPr>
        <w:keepNext w:val="0"/>
        <w:widowControl w:val="0"/>
        <w:spacing w:before="200" w:after="0" w:line="260" w:lineRule="atLeast"/>
        <w:ind w:left="0" w:right="0" w:firstLine="0"/>
        <w:jc w:val="both"/>
      </w:pPr>
      <w:bookmarkStart w:id="14" w:name="Bookmark_para_4"/>
      <w:bookmarkEnd w:id="14"/>
      <w:bookmarkStart w:id="15" w:name="Bookmark_I64T4KR128T51C0010000400"/>
      <w:bookmarkEnd w:id="15"/>
      <w:r>
        <w:rPr>
          <w:rFonts w:ascii="times" w:eastAsia="times" w:hAnsi="times" w:cs="times"/>
          <w:b w:val="0"/>
          <w:i w:val="0"/>
          <w:strike w:val="0"/>
          <w:noProof w:val="0"/>
          <w:color w:val="000000"/>
          <w:position w:val="0"/>
          <w:sz w:val="20"/>
          <w:u w:val="none"/>
          <w:vertAlign w:val="baseline"/>
        </w:rPr>
        <w:t>Plaintiffs Ashly Alexander and Cedric Bishop brought this case as a class action against Carrington Mortgage Services, LLC. They alleged that Carrington violated the Maryland Consumer Debt Collection Act and the Maryland Consumer Protection Act by charging $5 convenience fees to borrowers who paid monthly mortgage bills online or by phone. Because Carrington, a collector, charged an amount</w:t>
      </w:r>
      <w:r>
        <w:rPr>
          <w:rFonts w:ascii="times" w:eastAsia="times" w:hAnsi="times" w:cs="times"/>
          <w:b/>
          <w:i w:val="0"/>
          <w:strike w:val="0"/>
          <w:noProof w:val="0"/>
          <w:color w:val="000000"/>
          <w:position w:val="0"/>
          <w:sz w:val="20"/>
          <w:u w:val="none"/>
          <w:vertAlign w:val="baseline"/>
        </w:rPr>
        <w:t> [*2] </w:t>
      </w:r>
      <w:r>
        <w:rPr>
          <w:rFonts w:ascii="times" w:eastAsia="times" w:hAnsi="times" w:cs="times"/>
          <w:b w:val="0"/>
          <w:i w:val="0"/>
          <w:strike w:val="0"/>
          <w:noProof w:val="0"/>
          <w:color w:val="000000"/>
          <w:position w:val="0"/>
          <w:sz w:val="20"/>
          <w:u w:val="none"/>
          <w:vertAlign w:val="baseline"/>
        </w:rPr>
        <w:t xml:space="preserve"> that was not permitted by law, plaintiffs can proceed with some (but not all) of their claims. For the following reasons, we affirm in part, reverse in part, vacate in part, and remand for further proceedings consistent with this opinion.</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A.</w:t>
      </w:r>
    </w:p>
    <w:p>
      <w:pPr>
        <w:keepNext w:val="0"/>
        <w:widowControl w:val="0"/>
        <w:spacing w:before="200" w:after="0" w:line="260" w:lineRule="atLeast"/>
        <w:ind w:left="0" w:right="0" w:firstLine="0"/>
        <w:jc w:val="both"/>
      </w:pPr>
      <w:bookmarkStart w:id="16" w:name="Bookmark_para_5"/>
      <w:bookmarkEnd w:id="16"/>
      <w:bookmarkStart w:id="17" w:name="Bookmark_I64KM5M22D6NY50020000400"/>
      <w:bookmarkEnd w:id="17"/>
      <w:bookmarkStart w:id="18" w:name="Bookmark_LNHNREFclscc1"/>
      <w:bookmarkEnd w:id="18"/>
      <w:r>
        <w:rPr>
          <w:rFonts w:ascii="times" w:eastAsia="times" w:hAnsi="times" w:cs="times"/>
          <w:b w:val="0"/>
          <w:i w:val="0"/>
          <w:strike w:val="0"/>
          <w:noProof w:val="0"/>
          <w:color w:val="000000"/>
          <w:position w:val="0"/>
          <w:sz w:val="20"/>
          <w:u w:val="none"/>
          <w:vertAlign w:val="baseline"/>
        </w:rPr>
        <w:t xml:space="preserve">The </w:t>
      </w:r>
      <w:hyperlink r:id="rId12" w:history="1">
        <w:r>
          <w:rPr>
            <w:rFonts w:ascii="times" w:eastAsia="times" w:hAnsi="times" w:cs="times"/>
            <w:b w:val="0"/>
            <w:i w:val="0"/>
            <w:strike w:val="0"/>
            <w:noProof w:val="0"/>
            <w:color w:val="0077CC"/>
            <w:position w:val="0"/>
            <w:sz w:val="20"/>
            <w:u w:val="single"/>
            <w:shd w:val="clear" w:color="auto" w:fill="FFFFFF"/>
            <w:vertAlign w:val="baseline"/>
          </w:rPr>
          <w:t>Maryland Consumer Debt Collection Act (MCDCA)</w:t>
        </w:r>
      </w:hyperlink>
      <w:r>
        <w:rPr>
          <w:rFonts w:ascii="times" w:eastAsia="times" w:hAnsi="times" w:cs="times"/>
          <w:b w:val="0"/>
          <w:i w:val="0"/>
          <w:strike w:val="0"/>
          <w:noProof w:val="0"/>
          <w:color w:val="000000"/>
          <w:position w:val="0"/>
          <w:sz w:val="20"/>
          <w:u w:val="none"/>
          <w:vertAlign w:val="baseline"/>
        </w:rPr>
        <w:t xml:space="preserve"> and the Maryland Consumer Protection Act (MCPA) are remedial consumer protection statutes aimed at "protect[ing] the public from unfair or deceptive trade practices by creditors engaged in debt collection activities." </w:t>
      </w:r>
      <w:bookmarkStart w:id="19" w:name="Bookmark_I64KM5M22D6NY50010000400"/>
      <w:bookmarkEnd w:id="19"/>
      <w:hyperlink r:id="rId13" w:history="1">
        <w:r>
          <w:rPr>
            <w:rFonts w:ascii="times" w:eastAsia="times" w:hAnsi="times" w:cs="times"/>
            <w:b w:val="0"/>
            <w:i/>
            <w:strike w:val="0"/>
            <w:noProof w:val="0"/>
            <w:color w:val="0077CC"/>
            <w:position w:val="0"/>
            <w:sz w:val="20"/>
            <w:u w:val="single"/>
            <w:shd w:val="clear" w:color="auto" w:fill="FFFFFF"/>
            <w:vertAlign w:val="baseline"/>
          </w:rPr>
          <w:t>Andrews &amp; Lawrence Pro. Servs. v. Mills</w:t>
        </w:r>
      </w:hyperlink>
      <w:hyperlink r:id="rId13" w:history="1">
        <w:r>
          <w:rPr>
            <w:rFonts w:ascii="times" w:eastAsia="times" w:hAnsi="times" w:cs="times"/>
            <w:b w:val="0"/>
            <w:i w:val="0"/>
            <w:strike w:val="0"/>
            <w:noProof w:val="0"/>
            <w:color w:val="0077CC"/>
            <w:position w:val="0"/>
            <w:sz w:val="20"/>
            <w:u w:val="single"/>
            <w:shd w:val="clear" w:color="auto" w:fill="FFFFFF"/>
            <w:vertAlign w:val="baseline"/>
          </w:rPr>
          <w:t>, 467 Md. 126, 223 A.3d 947, 950 (Md. 2020)</w:t>
        </w:r>
      </w:hyperlink>
      <w:r>
        <w:rPr>
          <w:rFonts w:ascii="times" w:eastAsia="times" w:hAnsi="times" w:cs="times"/>
          <w:b w:val="0"/>
          <w:i w:val="0"/>
          <w:strike w:val="0"/>
          <w:noProof w:val="0"/>
          <w:color w:val="000000"/>
          <w:position w:val="0"/>
          <w:sz w:val="20"/>
          <w:u w:val="none"/>
          <w:vertAlign w:val="baseline"/>
        </w:rPr>
        <w:t xml:space="preserve">. The MCDCA prohibits debt collectors from engaging in an extensive list of practices, while the MCPA both functions as a "statutory enforcement umbrella" and contains its own prohibitions. </w:t>
      </w:r>
      <w:r>
        <w:rPr>
          <w:rFonts w:ascii="times" w:eastAsia="times" w:hAnsi="times" w:cs="times"/>
          <w:b w:val="0"/>
          <w:i/>
          <w:strike w:val="0"/>
          <w:noProof w:val="0"/>
          <w:color w:val="000000"/>
          <w:position w:val="0"/>
          <w:sz w:val="20"/>
          <w:u w:val="none"/>
          <w:vertAlign w:val="baseline"/>
        </w:rPr>
        <w:t>Id.</w:t>
      </w:r>
    </w:p>
    <w:p>
      <w:pPr>
        <w:keepNext w:val="0"/>
        <w:widowControl w:val="0"/>
        <w:spacing w:before="240" w:after="0" w:line="260" w:lineRule="atLeast"/>
        <w:ind w:left="0" w:right="0" w:firstLine="0"/>
        <w:jc w:val="both"/>
      </w:pPr>
      <w:bookmarkStart w:id="20" w:name="Bookmark_para_6"/>
      <w:bookmarkEnd w:id="20"/>
      <w:r>
        <w:rPr>
          <w:rFonts w:ascii="times" w:eastAsia="times" w:hAnsi="times" w:cs="times"/>
          <w:b w:val="0"/>
          <w:i w:val="0"/>
          <w:strike w:val="0"/>
          <w:noProof w:val="0"/>
          <w:color w:val="000000"/>
          <w:position w:val="0"/>
          <w:sz w:val="20"/>
          <w:u w:val="none"/>
          <w:vertAlign w:val="baseline"/>
        </w:rPr>
        <w:t xml:space="preserve">Two provisions of the MCDCA are relevant in this case. </w:t>
      </w:r>
      <w:bookmarkStart w:id="21" w:name="Bookmark_LNHNREFclscc2"/>
      <w:bookmarkEnd w:id="21"/>
      <w:r>
        <w:rPr>
          <w:rFonts w:ascii="times" w:eastAsia="times" w:hAnsi="times" w:cs="times"/>
          <w:b w:val="0"/>
          <w:i w:val="0"/>
          <w:strike w:val="0"/>
          <w:noProof w:val="0"/>
          <w:color w:val="000000"/>
          <w:position w:val="0"/>
          <w:sz w:val="20"/>
          <w:u w:val="none"/>
          <w:vertAlign w:val="baseline"/>
        </w:rPr>
        <w:t xml:space="preserve">First, "[i]n collecting or attempting to collect an alleged debt," a "collector" may not "engage in any conduct that violates </w:t>
      </w:r>
      <w:hyperlink r:id="rId14" w:history="1">
        <w:r>
          <w:rPr>
            <w:rFonts w:ascii="times" w:eastAsia="times" w:hAnsi="times" w:cs="times"/>
            <w:b w:val="0"/>
            <w:i w:val="0"/>
            <w:strike w:val="0"/>
            <w:noProof w:val="0"/>
            <w:color w:val="0077CC"/>
            <w:position w:val="0"/>
            <w:sz w:val="20"/>
            <w:u w:val="single"/>
            <w:shd w:val="clear" w:color="auto" w:fill="FFFFFF"/>
            <w:vertAlign w:val="baseline"/>
          </w:rPr>
          <w:t>§§ 804 through 812</w:t>
        </w:r>
      </w:hyperlink>
      <w:r>
        <w:rPr>
          <w:rFonts w:ascii="times" w:eastAsia="times" w:hAnsi="times" w:cs="times"/>
          <w:b w:val="0"/>
          <w:i w:val="0"/>
          <w:strike w:val="0"/>
          <w:noProof w:val="0"/>
          <w:color w:val="000000"/>
          <w:position w:val="0"/>
          <w:sz w:val="20"/>
          <w:u w:val="none"/>
          <w:vertAlign w:val="baseline"/>
        </w:rPr>
        <w:t xml:space="preserve"> of the federal Fair Debt Collection Practices Act." </w:t>
      </w:r>
      <w:hyperlink r:id="rId15" w:history="1">
        <w:r>
          <w:rPr>
            <w:rFonts w:ascii="times" w:eastAsia="times" w:hAnsi="times" w:cs="times"/>
            <w:b w:val="0"/>
            <w:i w:val="0"/>
            <w:strike w:val="0"/>
            <w:noProof w:val="0"/>
            <w:color w:val="0077CC"/>
            <w:position w:val="0"/>
            <w:sz w:val="20"/>
            <w:u w:val="single"/>
            <w:shd w:val="clear" w:color="auto" w:fill="FFFFFF"/>
            <w:vertAlign w:val="baseline"/>
          </w:rPr>
          <w:t>Md. Code Ann., Com. Law § 14-202(11)</w:t>
        </w:r>
      </w:hyperlink>
      <w:r>
        <w:rPr>
          <w:rFonts w:ascii="times" w:eastAsia="times" w:hAnsi="times" w:cs="times"/>
          <w:b w:val="0"/>
          <w:i w:val="0"/>
          <w:strike w:val="0"/>
          <w:noProof w:val="0"/>
          <w:color w:val="000000"/>
          <w:position w:val="0"/>
          <w:sz w:val="20"/>
          <w:u w:val="none"/>
          <w:vertAlign w:val="baseline"/>
        </w:rPr>
        <w:t>. Maryland thus incorporates the substantive provisions of the Fair Debt Collection Practices Act (FDCPA). One of those provisions, at issue here, is the FDCPA's proscription on "[t]he collection of any amount (including any interest, fee, charge, or expense incidental to the principal obligation) unless such</w:t>
      </w:r>
      <w:r>
        <w:rPr>
          <w:rFonts w:ascii="times" w:eastAsia="times" w:hAnsi="times" w:cs="times"/>
          <w:b/>
          <w:i w:val="0"/>
          <w:strike w:val="0"/>
          <w:noProof w:val="0"/>
          <w:color w:val="000000"/>
          <w:position w:val="0"/>
          <w:sz w:val="20"/>
          <w:u w:val="none"/>
          <w:vertAlign w:val="baseline"/>
        </w:rPr>
        <w:t> [*3] </w:t>
      </w:r>
      <w:r>
        <w:rPr>
          <w:rFonts w:ascii="times" w:eastAsia="times" w:hAnsi="times" w:cs="times"/>
          <w:b w:val="0"/>
          <w:i w:val="0"/>
          <w:strike w:val="0"/>
          <w:noProof w:val="0"/>
          <w:color w:val="000000"/>
          <w:position w:val="0"/>
          <w:sz w:val="20"/>
          <w:u w:val="none"/>
          <w:vertAlign w:val="baseline"/>
        </w:rPr>
        <w:t xml:space="preserve"> amount is expressly authorized by the agreement creating the debt or permitted by law." </w:t>
      </w:r>
      <w:hyperlink r:id="rId16" w:history="1">
        <w:r>
          <w:rPr>
            <w:rFonts w:ascii="times" w:eastAsia="times" w:hAnsi="times" w:cs="times"/>
            <w:b w:val="0"/>
            <w:i w:val="0"/>
            <w:strike w:val="0"/>
            <w:noProof w:val="0"/>
            <w:color w:val="0077CC"/>
            <w:position w:val="0"/>
            <w:sz w:val="20"/>
            <w:u w:val="single"/>
            <w:shd w:val="clear" w:color="auto" w:fill="FFFFFF"/>
            <w:vertAlign w:val="baseline"/>
          </w:rPr>
          <w:t>FDCPA § 808</w:t>
        </w:r>
      </w:hyperlink>
      <w:r>
        <w:rPr>
          <w:rFonts w:ascii="times" w:eastAsia="times" w:hAnsi="times" w:cs="times"/>
          <w:b w:val="0"/>
          <w:i w:val="0"/>
          <w:strike w:val="0"/>
          <w:noProof w:val="0"/>
          <w:color w:val="000000"/>
          <w:position w:val="0"/>
          <w:sz w:val="20"/>
          <w:u w:val="none"/>
          <w:vertAlign w:val="baseline"/>
        </w:rPr>
        <w:t xml:space="preserve">, </w:t>
      </w:r>
      <w:hyperlink r:id="rId16" w:history="1">
        <w:r>
          <w:rPr>
            <w:rFonts w:ascii="times" w:eastAsia="times" w:hAnsi="times" w:cs="times"/>
            <w:b w:val="0"/>
            <w:i w:val="0"/>
            <w:strike w:val="0"/>
            <w:noProof w:val="0"/>
            <w:color w:val="0077CC"/>
            <w:position w:val="0"/>
            <w:sz w:val="20"/>
            <w:u w:val="single"/>
            <w:shd w:val="clear" w:color="auto" w:fill="FFFFFF"/>
            <w:vertAlign w:val="baseline"/>
          </w:rPr>
          <w:t>15 U.S.C § 1692f(1)</w:t>
        </w:r>
      </w:hyperlink>
      <w:r>
        <w:rPr>
          <w:rFonts w:ascii="times" w:eastAsia="times" w:hAnsi="times" w:cs="times"/>
          <w:b w:val="0"/>
          <w:i w:val="0"/>
          <w:strike w:val="0"/>
          <w:noProof w:val="0"/>
          <w:color w:val="000000"/>
          <w:position w:val="0"/>
          <w:sz w:val="20"/>
          <w:u w:val="none"/>
          <w:vertAlign w:val="baseline"/>
        </w:rPr>
        <w:t xml:space="preserve">. </w:t>
      </w:r>
      <w:hyperlink r:id="rId15" w:history="1">
        <w:r>
          <w:rPr>
            <w:rFonts w:ascii="times" w:eastAsia="times" w:hAnsi="times" w:cs="times"/>
            <w:b w:val="0"/>
            <w:i w:val="0"/>
            <w:strike w:val="0"/>
            <w:noProof w:val="0"/>
            <w:color w:val="0077CC"/>
            <w:position w:val="0"/>
            <w:sz w:val="20"/>
            <w:u w:val="single"/>
            <w:shd w:val="clear" w:color="auto" w:fill="FFFFFF"/>
            <w:vertAlign w:val="baseline"/>
          </w:rPr>
          <w:t>Section 14-202(11)</w:t>
        </w:r>
      </w:hyperlink>
      <w:r>
        <w:rPr>
          <w:rFonts w:ascii="times" w:eastAsia="times" w:hAnsi="times" w:cs="times"/>
          <w:b w:val="0"/>
          <w:i w:val="0"/>
          <w:strike w:val="0"/>
          <w:noProof w:val="0"/>
          <w:color w:val="000000"/>
          <w:position w:val="0"/>
          <w:sz w:val="20"/>
          <w:u w:val="none"/>
          <w:vertAlign w:val="baseline"/>
        </w:rPr>
        <w:t xml:space="preserve"> contains no scienter requirement. Second, a "collector" may not "claim, attempt, or threaten to enforce a right with knowledge that the right does not exist." </w:t>
      </w:r>
      <w:hyperlink r:id="rId15" w:history="1">
        <w:r>
          <w:rPr>
            <w:rFonts w:ascii="times" w:eastAsia="times" w:hAnsi="times" w:cs="times"/>
            <w:b w:val="0"/>
            <w:i w:val="0"/>
            <w:strike w:val="0"/>
            <w:noProof w:val="0"/>
            <w:color w:val="0077CC"/>
            <w:position w:val="0"/>
            <w:sz w:val="20"/>
            <w:u w:val="single"/>
            <w:shd w:val="clear" w:color="auto" w:fill="FFFFFF"/>
            <w:vertAlign w:val="baseline"/>
          </w:rPr>
          <w:t>Md. Code Ann., Com. Law § 14-202(8)</w:t>
        </w:r>
      </w:hyperlink>
      <w:r>
        <w:rPr>
          <w:rFonts w:ascii="times" w:eastAsia="times" w:hAnsi="times" w:cs="times"/>
          <w:b w:val="0"/>
          <w:i w:val="0"/>
          <w:strike w:val="0"/>
          <w:noProof w:val="0"/>
          <w:color w:val="000000"/>
          <w:position w:val="0"/>
          <w:sz w:val="20"/>
          <w:u w:val="none"/>
          <w:vertAlign w:val="baseline"/>
        </w:rPr>
        <w:t xml:space="preserve">. The MCDCA defines "collector" to mean "a person collecting or attempting to collect an alleged debt arising out of a consumer transaction," and a "consumer transaction" is "any transaction involving a person seeking or acquiring real or personal property, services, money, or credit for personal, family, or household purposes."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2" w:history="1">
        <w:r>
          <w:rPr>
            <w:rFonts w:ascii="times" w:eastAsia="times" w:hAnsi="times" w:cs="times"/>
            <w:b w:val="0"/>
            <w:i w:val="0"/>
            <w:strike w:val="0"/>
            <w:noProof w:val="0"/>
            <w:color w:val="0077CC"/>
            <w:position w:val="0"/>
            <w:sz w:val="20"/>
            <w:u w:val="single"/>
            <w:shd w:val="clear" w:color="auto" w:fill="FFFFFF"/>
            <w:vertAlign w:val="baseline"/>
          </w:rPr>
          <w:t>§ 14-201(b)</w:t>
        </w:r>
      </w:hyperlink>
      <w:r>
        <w:rPr>
          <w:rFonts w:ascii="times" w:eastAsia="times" w:hAnsi="times" w:cs="times"/>
          <w:b w:val="0"/>
          <w:i w:val="0"/>
          <w:strike w:val="0"/>
          <w:noProof w:val="0"/>
          <w:color w:val="000000"/>
          <w:position w:val="0"/>
          <w:sz w:val="20"/>
          <w:u w:val="none"/>
          <w:vertAlign w:val="baseline"/>
        </w:rPr>
        <w:t xml:space="preserve">, </w:t>
      </w:r>
      <w:hyperlink r:id="rId12" w:history="1">
        <w:r>
          <w:rPr>
            <w:rFonts w:ascii="times" w:eastAsia="times" w:hAnsi="times" w:cs="times"/>
            <w:b w:val="0"/>
            <w:i w:val="0"/>
            <w:strike w:val="0"/>
            <w:noProof w:val="0"/>
            <w:color w:val="0077CC"/>
            <w:position w:val="0"/>
            <w:sz w:val="20"/>
            <w:u w:val="single"/>
            <w:shd w:val="clear" w:color="auto" w:fill="FFFFFF"/>
            <w:vertAlign w:val="baseline"/>
          </w:rPr>
          <w:t>(c)</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22" w:name="Bookmark_para_7"/>
      <w:bookmarkEnd w:id="22"/>
      <w:bookmarkStart w:id="23" w:name="Bookmark_I64KM5M22D6NY50040000400"/>
      <w:bookmarkEnd w:id="23"/>
      <w:bookmarkStart w:id="24" w:name="Bookmark_LNHNREFclscc3"/>
      <w:bookmarkEnd w:id="24"/>
      <w:r>
        <w:rPr>
          <w:rFonts w:ascii="times" w:eastAsia="times" w:hAnsi="times" w:cs="times"/>
          <w:b w:val="0"/>
          <w:i w:val="0"/>
          <w:strike w:val="0"/>
          <w:noProof w:val="0"/>
          <w:color w:val="000000"/>
          <w:position w:val="0"/>
          <w:sz w:val="20"/>
          <w:u w:val="none"/>
          <w:vertAlign w:val="baseline"/>
        </w:rPr>
        <w:t xml:space="preserve">The MCPA provides that "[a] person may not engage in any unfair, abusive, or deceptive trade practice . . . in the sale, lease, rental, loan, or bailment of any consumer goods, consumer realty, or consumer services" or "in the collection of consumer debts."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7" w:history="1">
        <w:r>
          <w:rPr>
            <w:rFonts w:ascii="times" w:eastAsia="times" w:hAnsi="times" w:cs="times"/>
            <w:b w:val="0"/>
            <w:i w:val="0"/>
            <w:strike w:val="0"/>
            <w:noProof w:val="0"/>
            <w:color w:val="0077CC"/>
            <w:position w:val="0"/>
            <w:sz w:val="20"/>
            <w:u w:val="single"/>
            <w:shd w:val="clear" w:color="auto" w:fill="FFFFFF"/>
            <w:vertAlign w:val="baseline"/>
          </w:rPr>
          <w:t>§ 13-303(1)</w:t>
        </w:r>
      </w:hyperlink>
      <w:r>
        <w:rPr>
          <w:rFonts w:ascii="times" w:eastAsia="times" w:hAnsi="times" w:cs="times"/>
          <w:b w:val="0"/>
          <w:i w:val="0"/>
          <w:strike w:val="0"/>
          <w:noProof w:val="0"/>
          <w:color w:val="000000"/>
          <w:position w:val="0"/>
          <w:sz w:val="20"/>
          <w:u w:val="none"/>
          <w:vertAlign w:val="baseline"/>
        </w:rPr>
        <w:t xml:space="preserve">, </w:t>
      </w:r>
      <w:hyperlink r:id="rId17" w:history="1">
        <w:r>
          <w:rPr>
            <w:rFonts w:ascii="times" w:eastAsia="times" w:hAnsi="times" w:cs="times"/>
            <w:b w:val="0"/>
            <w:i w:val="0"/>
            <w:strike w:val="0"/>
            <w:noProof w:val="0"/>
            <w:color w:val="0077CC"/>
            <w:position w:val="0"/>
            <w:sz w:val="20"/>
            <w:u w:val="single"/>
            <w:shd w:val="clear" w:color="auto" w:fill="FFFFFF"/>
            <w:vertAlign w:val="baseline"/>
          </w:rPr>
          <w:t>(5)</w:t>
        </w:r>
      </w:hyperlink>
      <w:r>
        <w:rPr>
          <w:rFonts w:ascii="times" w:eastAsia="times" w:hAnsi="times" w:cs="times"/>
          <w:b w:val="0"/>
          <w:i w:val="0"/>
          <w:strike w:val="0"/>
          <w:noProof w:val="0"/>
          <w:color w:val="000000"/>
          <w:position w:val="0"/>
          <w:sz w:val="20"/>
          <w:u w:val="none"/>
          <w:vertAlign w:val="baseline"/>
        </w:rPr>
        <w:t>. "Unfair, abusive, or deceptive trade practices" are defined to include "any false, falsely disparaging, or misleading oral or written statement . . . or other representation of any kind which has the capacity, tendency, or effect of deceiving or misleading consumers," as well as "any failure to state a material fact if the failure deceives or</w:t>
      </w:r>
      <w:r>
        <w:rPr>
          <w:rFonts w:ascii="times" w:eastAsia="times" w:hAnsi="times" w:cs="times"/>
          <w:b/>
          <w:i w:val="0"/>
          <w:strike w:val="0"/>
          <w:noProof w:val="0"/>
          <w:color w:val="000000"/>
          <w:position w:val="0"/>
          <w:sz w:val="20"/>
          <w:u w:val="none"/>
          <w:vertAlign w:val="baseline"/>
        </w:rPr>
        <w:t> [*4] </w:t>
      </w:r>
      <w:r>
        <w:rPr>
          <w:rFonts w:ascii="times" w:eastAsia="times" w:hAnsi="times" w:cs="times"/>
          <w:b w:val="0"/>
          <w:i w:val="0"/>
          <w:strike w:val="0"/>
          <w:noProof w:val="0"/>
          <w:color w:val="000000"/>
          <w:position w:val="0"/>
          <w:sz w:val="20"/>
          <w:u w:val="none"/>
          <w:vertAlign w:val="baseline"/>
        </w:rPr>
        <w:t xml:space="preserve"> tends to deceive."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8" w:history="1">
        <w:r>
          <w:rPr>
            <w:rFonts w:ascii="times" w:eastAsia="times" w:hAnsi="times" w:cs="times"/>
            <w:b w:val="0"/>
            <w:i w:val="0"/>
            <w:strike w:val="0"/>
            <w:noProof w:val="0"/>
            <w:color w:val="0077CC"/>
            <w:position w:val="0"/>
            <w:sz w:val="20"/>
            <w:u w:val="single"/>
            <w:shd w:val="clear" w:color="auto" w:fill="FFFFFF"/>
            <w:vertAlign w:val="baseline"/>
          </w:rPr>
          <w:t>§ 13-301(1)</w:t>
        </w:r>
      </w:hyperlink>
      <w:r>
        <w:rPr>
          <w:rFonts w:ascii="times" w:eastAsia="times" w:hAnsi="times" w:cs="times"/>
          <w:b w:val="0"/>
          <w:i w:val="0"/>
          <w:strike w:val="0"/>
          <w:noProof w:val="0"/>
          <w:color w:val="000000"/>
          <w:position w:val="0"/>
          <w:sz w:val="20"/>
          <w:u w:val="none"/>
          <w:vertAlign w:val="baseline"/>
        </w:rPr>
        <w:t xml:space="preserve">, </w:t>
      </w:r>
      <w:hyperlink r:id="rId18" w:history="1">
        <w:r>
          <w:rPr>
            <w:rFonts w:ascii="times" w:eastAsia="times" w:hAnsi="times" w:cs="times"/>
            <w:b w:val="0"/>
            <w:i w:val="0"/>
            <w:strike w:val="0"/>
            <w:noProof w:val="0"/>
            <w:color w:val="0077CC"/>
            <w:position w:val="0"/>
            <w:sz w:val="20"/>
            <w:u w:val="single"/>
            <w:shd w:val="clear" w:color="auto" w:fill="FFFFFF"/>
            <w:vertAlign w:val="baseline"/>
          </w:rPr>
          <w:t>(3)</w:t>
        </w:r>
      </w:hyperlink>
      <w:r>
        <w:rPr>
          <w:rFonts w:ascii="times" w:eastAsia="times" w:hAnsi="times" w:cs="times"/>
          <w:b w:val="0"/>
          <w:i w:val="0"/>
          <w:strike w:val="0"/>
          <w:noProof w:val="0"/>
          <w:color w:val="000000"/>
          <w:position w:val="0"/>
          <w:sz w:val="20"/>
          <w:u w:val="none"/>
          <w:vertAlign w:val="baseline"/>
        </w:rPr>
        <w:t xml:space="preserve">. An MCDCA violation "is also a per se violation" of the MCPA. </w:t>
      </w:r>
      <w:bookmarkStart w:id="25" w:name="Bookmark_I64KM5M22D6NY50030000400"/>
      <w:bookmarkEnd w:id="25"/>
      <w:hyperlink r:id="rId13" w:history="1">
        <w:r>
          <w:rPr>
            <w:rFonts w:ascii="times" w:eastAsia="times" w:hAnsi="times" w:cs="times"/>
            <w:b w:val="0"/>
            <w:i/>
            <w:strike w:val="0"/>
            <w:noProof w:val="0"/>
            <w:color w:val="0077CC"/>
            <w:position w:val="0"/>
            <w:sz w:val="20"/>
            <w:u w:val="single"/>
            <w:shd w:val="clear" w:color="auto" w:fill="FFFFFF"/>
            <w:vertAlign w:val="baseline"/>
          </w:rPr>
          <w:t>Mills</w:t>
        </w:r>
      </w:hyperlink>
      <w:hyperlink r:id="rId13" w:history="1">
        <w:r>
          <w:rPr>
            <w:rFonts w:ascii="times" w:eastAsia="times" w:hAnsi="times" w:cs="times"/>
            <w:b w:val="0"/>
            <w:i w:val="0"/>
            <w:strike w:val="0"/>
            <w:noProof w:val="0"/>
            <w:color w:val="0077CC"/>
            <w:position w:val="0"/>
            <w:sz w:val="20"/>
            <w:u w:val="single"/>
            <w:shd w:val="clear" w:color="auto" w:fill="FFFFFF"/>
            <w:vertAlign w:val="baseline"/>
          </w:rPr>
          <w:t>, 223 A.3d at 950</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see also</w:t>
      </w:r>
      <w:r>
        <w:rPr>
          <w:rFonts w:ascii="times" w:eastAsia="times" w:hAnsi="times" w:cs="times"/>
          <w:b w:val="0"/>
          <w:i w:val="0"/>
          <w:strike w:val="0"/>
          <w:noProof w:val="0"/>
          <w:color w:val="000000"/>
          <w:position w:val="0"/>
          <w:sz w:val="20"/>
          <w:u w:val="none"/>
          <w:vertAlign w:val="baseline"/>
        </w:rPr>
        <w:t xml:space="preserve"> </w:t>
      </w:r>
      <w:hyperlink r:id="rId18" w:history="1">
        <w:r>
          <w:rPr>
            <w:rFonts w:ascii="times" w:eastAsia="times" w:hAnsi="times" w:cs="times"/>
            <w:b w:val="0"/>
            <w:i w:val="0"/>
            <w:strike w:val="0"/>
            <w:noProof w:val="0"/>
            <w:color w:val="0077CC"/>
            <w:position w:val="0"/>
            <w:sz w:val="20"/>
            <w:u w:val="single"/>
            <w:shd w:val="clear" w:color="auto" w:fill="FFFFFF"/>
            <w:vertAlign w:val="baseline"/>
          </w:rPr>
          <w:t>Md. Code Ann., Com. Law § 13-301(14)(iii)</w:t>
        </w:r>
      </w:hyperlink>
      <w:r>
        <w:rPr>
          <w:rFonts w:ascii="times" w:eastAsia="times" w:hAnsi="times" w:cs="times"/>
          <w:b w:val="0"/>
          <w:i w:val="0"/>
          <w:strike w:val="0"/>
          <w:noProof w:val="0"/>
          <w:color w:val="000000"/>
          <w:position w:val="0"/>
          <w:sz w:val="20"/>
          <w:u w:val="none"/>
          <w:vertAlign w:val="baseline"/>
        </w:rPr>
        <w:t xml:space="preserve"> ("Unfair, abusive, or deceptive trade practices include any violation of a provision of . . . the [MCDCA].").</w:t>
      </w:r>
    </w:p>
    <w:p>
      <w:pPr>
        <w:keepNext w:val="0"/>
        <w:widowControl w:val="0"/>
        <w:spacing w:before="240" w:after="0" w:line="260" w:lineRule="atLeast"/>
        <w:ind w:left="0" w:right="0" w:firstLine="0"/>
        <w:jc w:val="both"/>
      </w:pPr>
      <w:bookmarkStart w:id="26" w:name="Bookmark_para_8"/>
      <w:bookmarkEnd w:id="26"/>
      <w:bookmarkStart w:id="27" w:name="Bookmark_LNHNREFclscc4"/>
      <w:bookmarkEnd w:id="27"/>
      <w:r>
        <w:rPr>
          <w:rFonts w:ascii="times" w:eastAsia="times" w:hAnsi="times" w:cs="times"/>
          <w:b w:val="0"/>
          <w:i w:val="0"/>
          <w:strike w:val="0"/>
          <w:noProof w:val="0"/>
          <w:color w:val="000000"/>
          <w:position w:val="0"/>
          <w:sz w:val="20"/>
          <w:u w:val="none"/>
          <w:vertAlign w:val="baseline"/>
        </w:rPr>
        <w:t xml:space="preserve">If a collector violates the MCDCA, it is "liable for any damages proximately caused by the violation." </w:t>
      </w:r>
      <w:hyperlink r:id="rId19" w:history="1">
        <w:r>
          <w:rPr>
            <w:rFonts w:ascii="times" w:eastAsia="times" w:hAnsi="times" w:cs="times"/>
            <w:b w:val="0"/>
            <w:i w:val="0"/>
            <w:strike w:val="0"/>
            <w:noProof w:val="0"/>
            <w:color w:val="0077CC"/>
            <w:position w:val="0"/>
            <w:sz w:val="20"/>
            <w:u w:val="single"/>
            <w:shd w:val="clear" w:color="auto" w:fill="FFFFFF"/>
            <w:vertAlign w:val="baseline"/>
          </w:rPr>
          <w:t>Md. Code Ann., Com. Law § 14-203</w:t>
        </w:r>
      </w:hyperlink>
      <w:r>
        <w:rPr>
          <w:rFonts w:ascii="times" w:eastAsia="times" w:hAnsi="times" w:cs="times"/>
          <w:b w:val="0"/>
          <w:i w:val="0"/>
          <w:strike w:val="0"/>
          <w:noProof w:val="0"/>
          <w:color w:val="000000"/>
          <w:position w:val="0"/>
          <w:sz w:val="20"/>
          <w:u w:val="none"/>
          <w:vertAlign w:val="baseline"/>
        </w:rPr>
        <w:t xml:space="preserve">. And under the MCPA, any person who is awarded damages "may also seek, and the court may award, reasonable attorney's fees."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20" w:history="1">
        <w:r>
          <w:rPr>
            <w:rFonts w:ascii="times" w:eastAsia="times" w:hAnsi="times" w:cs="times"/>
            <w:b w:val="0"/>
            <w:i w:val="0"/>
            <w:strike w:val="0"/>
            <w:noProof w:val="0"/>
            <w:color w:val="0077CC"/>
            <w:position w:val="0"/>
            <w:sz w:val="20"/>
            <w:u w:val="single"/>
            <w:shd w:val="clear" w:color="auto" w:fill="FFFFFF"/>
            <w:vertAlign w:val="baseline"/>
          </w:rPr>
          <w:t>§ 13-408(b)</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B.</w:t>
      </w:r>
    </w:p>
    <w:p>
      <w:pPr>
        <w:keepNext w:val="0"/>
        <w:widowControl w:val="0"/>
        <w:spacing w:before="200" w:after="0" w:line="260" w:lineRule="atLeast"/>
        <w:ind w:left="0" w:right="0" w:firstLine="0"/>
        <w:jc w:val="both"/>
      </w:pPr>
      <w:bookmarkStart w:id="28" w:name="Bookmark_para_9"/>
      <w:bookmarkEnd w:id="28"/>
      <w:r>
        <w:rPr>
          <w:rFonts w:ascii="times" w:eastAsia="times" w:hAnsi="times" w:cs="times"/>
          <w:b w:val="0"/>
          <w:i w:val="0"/>
          <w:strike w:val="0"/>
          <w:noProof w:val="0"/>
          <w:color w:val="000000"/>
          <w:position w:val="0"/>
          <w:sz w:val="20"/>
          <w:u w:val="none"/>
          <w:vertAlign w:val="baseline"/>
        </w:rPr>
        <w:t>In 2005, Ashly Alexander took out a residential mortgage loan to purchase her property in Baltimore, Maryland. The Note evidencing her loan required her to "make all payments under this Note in the form of cash, check or money order" at a P.O. Box in Dallas, Texas "or at a different place if required by the Note Holder." J.A. 116. In 2017, Carrington was retained to service and collect on Alexander's loan.</w:t>
      </w:r>
    </w:p>
    <w:p>
      <w:pPr>
        <w:keepNext w:val="0"/>
        <w:widowControl w:val="0"/>
        <w:spacing w:before="200" w:after="0" w:line="260" w:lineRule="atLeast"/>
        <w:ind w:left="0" w:right="0" w:firstLine="0"/>
        <w:jc w:val="both"/>
      </w:pPr>
      <w:bookmarkStart w:id="29" w:name="Bookmark_para_10"/>
      <w:bookmarkEnd w:id="29"/>
      <w:r>
        <w:rPr>
          <w:rFonts w:ascii="times" w:eastAsia="times" w:hAnsi="times" w:cs="times"/>
          <w:b w:val="0"/>
          <w:i w:val="0"/>
          <w:strike w:val="0"/>
          <w:noProof w:val="0"/>
          <w:color w:val="000000"/>
          <w:position w:val="0"/>
          <w:sz w:val="20"/>
          <w:u w:val="none"/>
          <w:vertAlign w:val="baseline"/>
        </w:rPr>
        <w:t>In 2010, Cedric Bishop took out a residential mortgage loan to refinance his property in Gaithersburg, Maryland. Bishop's Note stated that "[p]ayment shall be made" at an address in Irvine, California "or at such other place as Lender may designate in writing by notice to Borrower." J.A. 137. In 2018, Carrington was retained to service and collect</w:t>
      </w:r>
      <w:r>
        <w:rPr>
          <w:rFonts w:ascii="times" w:eastAsia="times" w:hAnsi="times" w:cs="times"/>
          <w:b/>
          <w:i w:val="0"/>
          <w:strike w:val="0"/>
          <w:noProof w:val="0"/>
          <w:color w:val="000000"/>
          <w:position w:val="0"/>
          <w:sz w:val="20"/>
          <w:u w:val="none"/>
          <w:vertAlign w:val="baseline"/>
        </w:rPr>
        <w:t> [*5] </w:t>
      </w:r>
      <w:r>
        <w:rPr>
          <w:rFonts w:ascii="times" w:eastAsia="times" w:hAnsi="times" w:cs="times"/>
          <w:b w:val="0"/>
          <w:i w:val="0"/>
          <w:strike w:val="0"/>
          <w:noProof w:val="0"/>
          <w:color w:val="000000"/>
          <w:position w:val="0"/>
          <w:sz w:val="20"/>
          <w:u w:val="none"/>
          <w:vertAlign w:val="baseline"/>
        </w:rPr>
        <w:t xml:space="preserve"> on Bishop's loan.</w:t>
      </w:r>
    </w:p>
    <w:p>
      <w:pPr>
        <w:keepNext w:val="0"/>
        <w:widowControl w:val="0"/>
        <w:spacing w:before="200" w:after="0" w:line="260" w:lineRule="atLeast"/>
        <w:ind w:left="0" w:right="0" w:firstLine="0"/>
        <w:jc w:val="both"/>
      </w:pPr>
      <w:bookmarkStart w:id="30" w:name="Bookmark_para_11"/>
      <w:bookmarkEnd w:id="30"/>
      <w:r>
        <w:rPr>
          <w:rFonts w:ascii="times" w:eastAsia="times" w:hAnsi="times" w:cs="times"/>
          <w:b w:val="0"/>
          <w:i w:val="0"/>
          <w:strike w:val="0"/>
          <w:noProof w:val="0"/>
          <w:color w:val="000000"/>
          <w:position w:val="0"/>
          <w:sz w:val="20"/>
          <w:u w:val="none"/>
          <w:vertAlign w:val="baseline"/>
        </w:rPr>
        <w:t>Carrington gave Alexander and Bishop, in addition to the free pay-by-mail option specified in the initial mortgage documents, the choice to make payments online or by phone if they paid a $5 convenience fee. Borrowers opting to pay their bills online pressed an "I agree" button after reviewing Carrington's terms and conditions (thereby entering into a clickwrap agreement) and then selected "Continue" after manually inputting their payment amount and seeing the convenience fee displayed. Both Alexander and Bishop paid their mortgages online, and they each incurred the $5 fee at least nine times in 2018 or 2019.</w:t>
      </w:r>
    </w:p>
    <w:p>
      <w:pPr>
        <w:keepNext w:val="0"/>
        <w:widowControl w:val="0"/>
        <w:spacing w:before="200" w:after="0" w:line="260" w:lineRule="atLeast"/>
        <w:ind w:left="0" w:right="0" w:firstLine="0"/>
        <w:jc w:val="both"/>
      </w:pPr>
      <w:bookmarkStart w:id="31" w:name="Bookmark_para_12"/>
      <w:bookmarkEnd w:id="31"/>
      <w:r>
        <w:rPr>
          <w:rFonts w:ascii="times" w:eastAsia="times" w:hAnsi="times" w:cs="times"/>
          <w:b w:val="0"/>
          <w:i w:val="0"/>
          <w:strike w:val="0"/>
          <w:noProof w:val="0"/>
          <w:color w:val="000000"/>
          <w:position w:val="0"/>
          <w:sz w:val="20"/>
          <w:u w:val="none"/>
          <w:vertAlign w:val="baseline"/>
        </w:rPr>
        <w:t xml:space="preserve">Alexander filed a class-action complaint in Maryland court challenging Carrington's convenience fees; Carrington promptly removed the action to federal court under </w:t>
      </w:r>
      <w:hyperlink r:id="rId21" w:history="1">
        <w:r>
          <w:rPr>
            <w:rFonts w:ascii="times" w:eastAsia="times" w:hAnsi="times" w:cs="times"/>
            <w:b w:val="0"/>
            <w:i w:val="0"/>
            <w:strike w:val="0"/>
            <w:noProof w:val="0"/>
            <w:color w:val="0077CC"/>
            <w:position w:val="0"/>
            <w:sz w:val="20"/>
            <w:u w:val="single"/>
            <w:shd w:val="clear" w:color="auto" w:fill="FFFFFF"/>
            <w:vertAlign w:val="baseline"/>
          </w:rPr>
          <w:t>28 U.S.C. § 1332(d)</w:t>
        </w:r>
      </w:hyperlink>
      <w:r>
        <w:rPr>
          <w:rFonts w:ascii="times" w:eastAsia="times" w:hAnsi="times" w:cs="times"/>
          <w:b w:val="0"/>
          <w:i w:val="0"/>
          <w:strike w:val="0"/>
          <w:noProof w:val="0"/>
          <w:color w:val="000000"/>
          <w:position w:val="0"/>
          <w:sz w:val="20"/>
          <w:u w:val="none"/>
          <w:vertAlign w:val="baseline"/>
        </w:rPr>
        <w:t xml:space="preserve">. Alexander then filed an amended complaint which added Bishop as a plaintiff. Count I of that complaint, at issue here, alleged two violations of the MCDCA: engaging in conduct that violates the FDCPA, </w:t>
      </w:r>
      <w:hyperlink r:id="rId15" w:history="1">
        <w:r>
          <w:rPr>
            <w:rFonts w:ascii="times" w:eastAsia="times" w:hAnsi="times" w:cs="times"/>
            <w:b w:val="0"/>
            <w:i w:val="0"/>
            <w:strike w:val="0"/>
            <w:noProof w:val="0"/>
            <w:color w:val="0077CC"/>
            <w:position w:val="0"/>
            <w:sz w:val="20"/>
            <w:u w:val="single"/>
            <w:shd w:val="clear" w:color="auto" w:fill="FFFFFF"/>
            <w:vertAlign w:val="baseline"/>
          </w:rPr>
          <w:t>Md. Code Ann., Com. Law § 14-202(11)</w:t>
        </w:r>
      </w:hyperlink>
      <w:r>
        <w:rPr>
          <w:rFonts w:ascii="times" w:eastAsia="times" w:hAnsi="times" w:cs="times"/>
          <w:b w:val="0"/>
          <w:i w:val="0"/>
          <w:strike w:val="0"/>
          <w:noProof w:val="0"/>
          <w:color w:val="000000"/>
          <w:position w:val="0"/>
          <w:sz w:val="20"/>
          <w:u w:val="none"/>
          <w:vertAlign w:val="baseline"/>
        </w:rPr>
        <w:t xml:space="preserve">, and attempting to enforce a right with knowledge that the right does not exist,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14-202(8)</w:t>
        </w:r>
      </w:hyperlink>
      <w:r>
        <w:rPr>
          <w:rFonts w:ascii="times" w:eastAsia="times" w:hAnsi="times" w:cs="times"/>
          <w:b w:val="0"/>
          <w:i w:val="0"/>
          <w:strike w:val="0"/>
          <w:noProof w:val="0"/>
          <w:color w:val="000000"/>
          <w:position w:val="0"/>
          <w:sz w:val="20"/>
          <w:u w:val="none"/>
          <w:vertAlign w:val="baseline"/>
        </w:rPr>
        <w:t>. It also alleged two violations of the MCPA: a standalone unfair-and-deceptive-trade-practices claim and a derivative</w:t>
      </w:r>
      <w:r>
        <w:rPr>
          <w:rFonts w:ascii="times" w:eastAsia="times" w:hAnsi="times" w:cs="times"/>
          <w:b/>
          <w:i w:val="0"/>
          <w:strike w:val="0"/>
          <w:noProof w:val="0"/>
          <w:color w:val="000000"/>
          <w:position w:val="0"/>
          <w:sz w:val="20"/>
          <w:u w:val="none"/>
          <w:vertAlign w:val="baseline"/>
        </w:rPr>
        <w:t> [*6] </w:t>
      </w:r>
      <w:r>
        <w:rPr>
          <w:rFonts w:ascii="times" w:eastAsia="times" w:hAnsi="times" w:cs="times"/>
          <w:b w:val="0"/>
          <w:i w:val="0"/>
          <w:strike w:val="0"/>
          <w:noProof w:val="0"/>
          <w:color w:val="000000"/>
          <w:position w:val="0"/>
          <w:sz w:val="20"/>
          <w:u w:val="none"/>
          <w:vertAlign w:val="baseline"/>
        </w:rPr>
        <w:t xml:space="preserve"> claim based on the MCDCA violations.</w:t>
      </w:r>
      <w:r>
        <w:rPr>
          <w:rFonts w:ascii="times" w:eastAsia="times" w:hAnsi="times" w:cs="times"/>
          <w:vertAlign w:val="superscript"/>
        </w:rPr>
        <w:footnoteReference w:customMarkFollows="1" w:id="2"/>
        <w:t xml:space="preserve">1</w:t>
      </w:r>
    </w:p>
    <w:p>
      <w:pPr>
        <w:keepNext w:val="0"/>
        <w:widowControl w:val="0"/>
        <w:spacing w:before="240" w:after="0" w:line="260" w:lineRule="atLeast"/>
        <w:ind w:left="0" w:right="0" w:firstLine="0"/>
        <w:jc w:val="both"/>
      </w:pPr>
      <w:bookmarkStart w:id="33" w:name="Bookmark_para_13"/>
      <w:bookmarkEnd w:id="33"/>
      <w:r>
        <w:rPr>
          <w:rFonts w:ascii="times" w:eastAsia="times" w:hAnsi="times" w:cs="times"/>
          <w:b w:val="0"/>
          <w:i w:val="0"/>
          <w:strike w:val="0"/>
          <w:noProof w:val="0"/>
          <w:color w:val="000000"/>
          <w:position w:val="0"/>
          <w:sz w:val="20"/>
          <w:u w:val="none"/>
          <w:vertAlign w:val="baseline"/>
        </w:rPr>
        <w:t xml:space="preserve">Carrington moved to dismiss plaintiffs' complaint, and the district court granted Carrington's motion. The district court first held that in charging the convenience fees, Carrington was not a "collector" for either MCDCA claim. As to the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14-202(11)</w:t>
        </w:r>
      </w:hyperlink>
      <w:r>
        <w:rPr>
          <w:rFonts w:ascii="times" w:eastAsia="times" w:hAnsi="times" w:cs="times"/>
          <w:b w:val="0"/>
          <w:i w:val="0"/>
          <w:strike w:val="0"/>
          <w:noProof w:val="0"/>
          <w:color w:val="000000"/>
          <w:position w:val="0"/>
          <w:sz w:val="20"/>
          <w:u w:val="none"/>
          <w:vertAlign w:val="baseline"/>
        </w:rPr>
        <w:t xml:space="preserve"> claim, the district court further held that Carrington was not a "debt collector" under the FDCPA, that plaintiffs' choice to use the online-payment option was "permitted by law," and that Carrington's convenience fees were not "incidental" to plaintiffs' mortgage debt.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16" w:history="1">
        <w:r>
          <w:rPr>
            <w:rFonts w:ascii="times" w:eastAsia="times" w:hAnsi="times" w:cs="times"/>
            <w:b w:val="0"/>
            <w:i w:val="0"/>
            <w:strike w:val="0"/>
            <w:noProof w:val="0"/>
            <w:color w:val="0077CC"/>
            <w:position w:val="0"/>
            <w:sz w:val="20"/>
            <w:u w:val="single"/>
            <w:shd w:val="clear" w:color="auto" w:fill="FFFFFF"/>
            <w:vertAlign w:val="baseline"/>
          </w:rPr>
          <w:t>15 U.S.C. § 1692f(1)</w:t>
        </w:r>
      </w:hyperlink>
      <w:r>
        <w:rPr>
          <w:rFonts w:ascii="times" w:eastAsia="times" w:hAnsi="times" w:cs="times"/>
          <w:b w:val="0"/>
          <w:i w:val="0"/>
          <w:strike w:val="0"/>
          <w:noProof w:val="0"/>
          <w:color w:val="000000"/>
          <w:position w:val="0"/>
          <w:sz w:val="20"/>
          <w:u w:val="none"/>
          <w:vertAlign w:val="baseline"/>
        </w:rPr>
        <w:t xml:space="preserve">. As to the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14-202(8)</w:t>
        </w:r>
      </w:hyperlink>
      <w:r>
        <w:rPr>
          <w:rFonts w:ascii="times" w:eastAsia="times" w:hAnsi="times" w:cs="times"/>
          <w:b w:val="0"/>
          <w:i w:val="0"/>
          <w:strike w:val="0"/>
          <w:noProof w:val="0"/>
          <w:color w:val="000000"/>
          <w:position w:val="0"/>
          <w:sz w:val="20"/>
          <w:u w:val="none"/>
          <w:vertAlign w:val="baseline"/>
        </w:rPr>
        <w:t xml:space="preserve"> claim, the district court held that Carrington had the "right" to collect the convenience fees, since none of the mortgage documents expressly prohibited the fees and plaintiffs voluntarily chose to make payments online.</w:t>
      </w:r>
    </w:p>
    <w:p>
      <w:pPr>
        <w:keepNext w:val="0"/>
        <w:widowControl w:val="0"/>
        <w:spacing w:before="200" w:after="0" w:line="260" w:lineRule="atLeast"/>
        <w:ind w:left="0" w:right="0" w:firstLine="0"/>
        <w:jc w:val="both"/>
      </w:pPr>
      <w:bookmarkStart w:id="34" w:name="Bookmark_para_14"/>
      <w:bookmarkEnd w:id="34"/>
      <w:r>
        <w:rPr>
          <w:rFonts w:ascii="times" w:eastAsia="times" w:hAnsi="times" w:cs="times"/>
          <w:b w:val="0"/>
          <w:i w:val="0"/>
          <w:strike w:val="0"/>
          <w:noProof w:val="0"/>
          <w:color w:val="000000"/>
          <w:position w:val="0"/>
          <w:sz w:val="20"/>
          <w:u w:val="none"/>
          <w:vertAlign w:val="baseline"/>
        </w:rPr>
        <w:t>Because the district court found that plaintiffs' MCDCA claims failed, it also dismissed their derivative MCPA claim. On the standalone MCPA claim, the district court found no unfair practice or misrepresentation upon which plaintiffs relied. As a result, it dismissed all of plaintiffs' claims with prejudice.</w:t>
      </w:r>
    </w:p>
    <w:p>
      <w:pPr>
        <w:keepNext w:val="0"/>
        <w:widowControl w:val="0"/>
        <w:spacing w:before="240" w:after="0" w:line="260" w:lineRule="atLeast"/>
        <w:ind w:left="0" w:right="0" w:firstLine="0"/>
        <w:jc w:val="both"/>
      </w:pPr>
      <w:bookmarkStart w:id="35" w:name="Bookmark_para_15"/>
      <w:bookmarkEnd w:id="35"/>
      <w:bookmarkStart w:id="36" w:name="Bookmark_I64KM5M228T4D30010000400"/>
      <w:bookmarkEnd w:id="36"/>
      <w:bookmarkStart w:id="37" w:name="Bookmark_LNHNREFclscc5"/>
      <w:bookmarkEnd w:id="37"/>
      <w:r>
        <w:rPr>
          <w:rFonts w:ascii="times" w:eastAsia="times" w:hAnsi="times" w:cs="times"/>
          <w:b w:val="0"/>
          <w:i w:val="0"/>
          <w:strike w:val="0"/>
          <w:noProof w:val="0"/>
          <w:color w:val="000000"/>
          <w:position w:val="0"/>
          <w:sz w:val="20"/>
          <w:u w:val="none"/>
          <w:vertAlign w:val="baseline"/>
        </w:rPr>
        <w:t xml:space="preserve">We review de novo the district court's dismissal of plaintiffs' claims. </w:t>
      </w:r>
      <w:bookmarkStart w:id="38" w:name="Bookmark_I64KM5M22D6NY50050000400"/>
      <w:bookmarkEnd w:id="38"/>
      <w:hyperlink r:id="rId22" w:history="1">
        <w:r>
          <w:rPr>
            <w:rFonts w:ascii="times" w:eastAsia="times" w:hAnsi="times" w:cs="times"/>
            <w:b w:val="0"/>
            <w:i/>
            <w:strike w:val="0"/>
            <w:noProof w:val="0"/>
            <w:color w:val="0077CC"/>
            <w:position w:val="0"/>
            <w:sz w:val="20"/>
            <w:u w:val="single"/>
            <w:shd w:val="clear" w:color="auto" w:fill="FFFFFF"/>
            <w:vertAlign w:val="baseline"/>
          </w:rPr>
          <w:t>Weidman v. Exxon Mobil Corp.</w:t>
        </w:r>
      </w:hyperlink>
      <w:hyperlink r:id="rId22" w:history="1">
        <w:r>
          <w:rPr>
            <w:rFonts w:ascii="times" w:eastAsia="times" w:hAnsi="times" w:cs="times"/>
            <w:b w:val="0"/>
            <w:i w:val="0"/>
            <w:strike w:val="0"/>
            <w:noProof w:val="0"/>
            <w:color w:val="0077CC"/>
            <w:position w:val="0"/>
            <w:sz w:val="20"/>
            <w:u w:val="single"/>
            <w:shd w:val="clear" w:color="auto" w:fill="FFFFFF"/>
            <w:vertAlign w:val="baseline"/>
          </w:rPr>
          <w:t>, 776 F.3d 214, 219 (4th Cir. 2015)</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II.</w:t>
      </w:r>
    </w:p>
    <w:p>
      <w:pPr>
        <w:keepNext w:val="0"/>
        <w:widowControl w:val="0"/>
        <w:spacing w:before="200" w:after="0" w:line="260" w:lineRule="atLeast"/>
        <w:ind w:left="0" w:right="0" w:firstLine="0"/>
        <w:jc w:val="both"/>
      </w:pPr>
      <w:bookmarkStart w:id="39" w:name="Bookmark_para_16"/>
      <w:bookmarkEnd w:id="39"/>
      <w:bookmarkStart w:id="40" w:name="Bookmark_I64KM5M228T4D30030000400"/>
      <w:bookmarkEnd w:id="40"/>
      <w:bookmarkStart w:id="41" w:name="Bookmark_I64KM5M32HM6MK0040000400"/>
      <w:bookmarkEnd w:id="41"/>
      <w:r>
        <w:rPr>
          <w:rFonts w:ascii="times" w:eastAsia="times" w:hAnsi="times" w:cs="times"/>
          <w:b w:val="0"/>
          <w:i w:val="0"/>
          <w:strike w:val="0"/>
          <w:noProof w:val="0"/>
          <w:color w:val="000000"/>
          <w:position w:val="0"/>
          <w:sz w:val="20"/>
          <w:u w:val="none"/>
          <w:vertAlign w:val="baseline"/>
        </w:rPr>
        <w:t>The MCDCA and the MCPA are, as</w:t>
      </w:r>
      <w:r>
        <w:rPr>
          <w:rFonts w:ascii="times" w:eastAsia="times" w:hAnsi="times" w:cs="times"/>
          <w:b/>
          <w:i w:val="0"/>
          <w:strike w:val="0"/>
          <w:noProof w:val="0"/>
          <w:color w:val="000000"/>
          <w:position w:val="0"/>
          <w:sz w:val="20"/>
          <w:u w:val="none"/>
          <w:vertAlign w:val="baseline"/>
        </w:rPr>
        <w:t> [*7] </w:t>
      </w:r>
      <w:r>
        <w:rPr>
          <w:rFonts w:ascii="times" w:eastAsia="times" w:hAnsi="times" w:cs="times"/>
          <w:b w:val="0"/>
          <w:i w:val="0"/>
          <w:strike w:val="0"/>
          <w:noProof w:val="0"/>
          <w:color w:val="000000"/>
          <w:position w:val="0"/>
          <w:sz w:val="20"/>
          <w:u w:val="none"/>
          <w:vertAlign w:val="baseline"/>
        </w:rPr>
        <w:t xml:space="preserve"> noted, remedial consumer protection statutes. </w:t>
      </w:r>
      <w:bookmarkStart w:id="42" w:name="Bookmark_I64KM5M32SF8F40030000400"/>
      <w:bookmarkEnd w:id="42"/>
      <w:bookmarkStart w:id="43" w:name="Bookmark_LNHNREFclscc6"/>
      <w:bookmarkEnd w:id="43"/>
      <w:r>
        <w:rPr>
          <w:rFonts w:ascii="times" w:eastAsia="times" w:hAnsi="times" w:cs="times"/>
          <w:b w:val="0"/>
          <w:i w:val="0"/>
          <w:strike w:val="0"/>
          <w:noProof w:val="0"/>
          <w:color w:val="000000"/>
          <w:position w:val="0"/>
          <w:sz w:val="20"/>
          <w:u w:val="none"/>
          <w:vertAlign w:val="baseline"/>
        </w:rPr>
        <w:t xml:space="preserve">As such, they "must be liberally construed, in order to effectuate [their] broad remedial purpose." </w:t>
      </w:r>
      <w:bookmarkStart w:id="44" w:name="Bookmark_I64KM5M228T4D30020000400"/>
      <w:bookmarkEnd w:id="44"/>
      <w:hyperlink r:id="rId13" w:history="1">
        <w:r>
          <w:rPr>
            <w:rFonts w:ascii="times" w:eastAsia="times" w:hAnsi="times" w:cs="times"/>
            <w:b w:val="0"/>
            <w:i/>
            <w:strike w:val="0"/>
            <w:noProof w:val="0"/>
            <w:color w:val="0077CC"/>
            <w:position w:val="0"/>
            <w:sz w:val="20"/>
            <w:u w:val="single"/>
            <w:shd w:val="clear" w:color="auto" w:fill="FFFFFF"/>
            <w:vertAlign w:val="baseline"/>
          </w:rPr>
          <w:t>Mills</w:t>
        </w:r>
      </w:hyperlink>
      <w:hyperlink r:id="rId13" w:history="1">
        <w:r>
          <w:rPr>
            <w:rFonts w:ascii="times" w:eastAsia="times" w:hAnsi="times" w:cs="times"/>
            <w:b w:val="0"/>
            <w:i w:val="0"/>
            <w:strike w:val="0"/>
            <w:noProof w:val="0"/>
            <w:color w:val="0077CC"/>
            <w:position w:val="0"/>
            <w:sz w:val="20"/>
            <w:u w:val="single"/>
            <w:shd w:val="clear" w:color="auto" w:fill="FFFFFF"/>
            <w:vertAlign w:val="baseline"/>
          </w:rPr>
          <w:t>, 223 A.3d at 968</w:t>
        </w:r>
      </w:hyperlink>
      <w:r>
        <w:rPr>
          <w:rFonts w:ascii="times" w:eastAsia="times" w:hAnsi="times" w:cs="times"/>
          <w:b w:val="0"/>
          <w:i w:val="0"/>
          <w:strike w:val="0"/>
          <w:noProof w:val="0"/>
          <w:color w:val="000000"/>
          <w:position w:val="0"/>
          <w:sz w:val="20"/>
          <w:u w:val="none"/>
          <w:vertAlign w:val="baseline"/>
        </w:rPr>
        <w:t xml:space="preserve"> (quoting </w:t>
      </w:r>
      <w:bookmarkStart w:id="45" w:name="Bookmark_I64KM5M228T4D30040000400"/>
      <w:bookmarkEnd w:id="45"/>
      <w:hyperlink r:id="rId23" w:history="1">
        <w:r>
          <w:rPr>
            <w:rFonts w:ascii="times" w:eastAsia="times" w:hAnsi="times" w:cs="times"/>
            <w:b w:val="0"/>
            <w:i/>
            <w:strike w:val="0"/>
            <w:noProof w:val="0"/>
            <w:color w:val="0077CC"/>
            <w:position w:val="0"/>
            <w:sz w:val="20"/>
            <w:u w:val="single"/>
            <w:shd w:val="clear" w:color="auto" w:fill="FFFFFF"/>
            <w:vertAlign w:val="baseline"/>
          </w:rPr>
          <w:t>Lockett v. Blue Ocean Bristol, LLC</w:t>
        </w:r>
      </w:hyperlink>
      <w:hyperlink r:id="rId23" w:history="1">
        <w:r>
          <w:rPr>
            <w:rFonts w:ascii="times" w:eastAsia="times" w:hAnsi="times" w:cs="times"/>
            <w:b w:val="0"/>
            <w:i w:val="0"/>
            <w:strike w:val="0"/>
            <w:noProof w:val="0"/>
            <w:color w:val="0077CC"/>
            <w:position w:val="0"/>
            <w:sz w:val="20"/>
            <w:u w:val="single"/>
            <w:shd w:val="clear" w:color="auto" w:fill="FFFFFF"/>
            <w:vertAlign w:val="baseline"/>
          </w:rPr>
          <w:t>, 446 Md. 397, 132 A. 3d 257, 272 (Md. 2016)</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see also </w:t>
      </w:r>
      <w:bookmarkStart w:id="46" w:name="Bookmark_I64KM5M32HM6MK0010000400"/>
      <w:bookmarkEnd w:id="46"/>
      <w:hyperlink r:id="rId24" w:history="1">
        <w:r>
          <w:rPr>
            <w:rFonts w:ascii="times" w:eastAsia="times" w:hAnsi="times" w:cs="times"/>
            <w:b w:val="0"/>
            <w:i/>
            <w:strike w:val="0"/>
            <w:noProof w:val="0"/>
            <w:color w:val="0077CC"/>
            <w:position w:val="0"/>
            <w:sz w:val="20"/>
            <w:u w:val="single"/>
            <w:shd w:val="clear" w:color="auto" w:fill="FFFFFF"/>
            <w:vertAlign w:val="baseline"/>
          </w:rPr>
          <w:t>Washington Home Remodelers, Inc. v. State</w:t>
        </w:r>
      </w:hyperlink>
      <w:hyperlink r:id="rId24" w:history="1">
        <w:r>
          <w:rPr>
            <w:rFonts w:ascii="times" w:eastAsia="times" w:hAnsi="times" w:cs="times"/>
            <w:b w:val="0"/>
            <w:i w:val="0"/>
            <w:strike w:val="0"/>
            <w:noProof w:val="0"/>
            <w:color w:val="0077CC"/>
            <w:position w:val="0"/>
            <w:sz w:val="20"/>
            <w:u w:val="single"/>
            <w:shd w:val="clear" w:color="auto" w:fill="FFFFFF"/>
            <w:vertAlign w:val="baseline"/>
          </w:rPr>
          <w:t>, 426 Md. 613, 45 A.3d 208, 219 (Md. 2012)</w:t>
        </w:r>
      </w:hyperlink>
      <w:r>
        <w:rPr>
          <w:rFonts w:ascii="times" w:eastAsia="times" w:hAnsi="times" w:cs="times"/>
          <w:b w:val="0"/>
          <w:i w:val="0"/>
          <w:strike w:val="0"/>
          <w:noProof w:val="0"/>
          <w:color w:val="000000"/>
          <w:position w:val="0"/>
          <w:sz w:val="20"/>
          <w:u w:val="none"/>
          <w:vertAlign w:val="baseline"/>
        </w:rPr>
        <w:t xml:space="preserve"> (The MCPA "constitutes remedial legislation that is intended to be construed liberally in order to promote its purpose of providing a modicum of protection for the State's consumers."). In fact, Maryland's high court has expressly warned against construing these statutes in a "narrow or grudging" manner so as to "exemplify and perpetuate the very evils to be remedied." </w:t>
      </w:r>
      <w:bookmarkStart w:id="47" w:name="Bookmark_I64KM5M32HM6MK0030000400"/>
      <w:bookmarkEnd w:id="47"/>
      <w:hyperlink r:id="rId13" w:history="1">
        <w:r>
          <w:rPr>
            <w:rFonts w:ascii="times" w:eastAsia="times" w:hAnsi="times" w:cs="times"/>
            <w:b w:val="0"/>
            <w:i/>
            <w:strike w:val="0"/>
            <w:noProof w:val="0"/>
            <w:color w:val="0077CC"/>
            <w:position w:val="0"/>
            <w:sz w:val="20"/>
            <w:u w:val="single"/>
            <w:shd w:val="clear" w:color="auto" w:fill="FFFFFF"/>
            <w:vertAlign w:val="baseline"/>
          </w:rPr>
          <w:t>Mills</w:t>
        </w:r>
      </w:hyperlink>
      <w:hyperlink r:id="rId13" w:history="1">
        <w:r>
          <w:rPr>
            <w:rFonts w:ascii="times" w:eastAsia="times" w:hAnsi="times" w:cs="times"/>
            <w:b w:val="0"/>
            <w:i w:val="0"/>
            <w:strike w:val="0"/>
            <w:noProof w:val="0"/>
            <w:color w:val="0077CC"/>
            <w:position w:val="0"/>
            <w:sz w:val="20"/>
            <w:u w:val="single"/>
            <w:shd w:val="clear" w:color="auto" w:fill="FFFFFF"/>
            <w:vertAlign w:val="baseline"/>
          </w:rPr>
          <w:t>, 223 A.3d at 968</w:t>
        </w:r>
      </w:hyperlink>
      <w:r>
        <w:rPr>
          <w:rFonts w:ascii="times" w:eastAsia="times" w:hAnsi="times" w:cs="times"/>
          <w:b w:val="0"/>
          <w:i w:val="0"/>
          <w:strike w:val="0"/>
          <w:noProof w:val="0"/>
          <w:color w:val="000000"/>
          <w:position w:val="0"/>
          <w:sz w:val="20"/>
          <w:u w:val="none"/>
          <w:vertAlign w:val="baseline"/>
        </w:rPr>
        <w:t xml:space="preserve"> (quoting </w:t>
      </w:r>
      <w:bookmarkStart w:id="48" w:name="Bookmark_I64KM5M32HM6MK0050000400"/>
      <w:bookmarkEnd w:id="48"/>
      <w:hyperlink r:id="rId25" w:history="1">
        <w:r>
          <w:rPr>
            <w:rFonts w:ascii="times" w:eastAsia="times" w:hAnsi="times" w:cs="times"/>
            <w:b w:val="0"/>
            <w:i/>
            <w:strike w:val="0"/>
            <w:noProof w:val="0"/>
            <w:color w:val="0077CC"/>
            <w:position w:val="0"/>
            <w:sz w:val="20"/>
            <w:u w:val="single"/>
            <w:shd w:val="clear" w:color="auto" w:fill="FFFFFF"/>
            <w:vertAlign w:val="baseline"/>
          </w:rPr>
          <w:t>Pak v. Hoang</w:t>
        </w:r>
      </w:hyperlink>
      <w:hyperlink r:id="rId25" w:history="1">
        <w:r>
          <w:rPr>
            <w:rFonts w:ascii="times" w:eastAsia="times" w:hAnsi="times" w:cs="times"/>
            <w:b w:val="0"/>
            <w:i w:val="0"/>
            <w:strike w:val="0"/>
            <w:noProof w:val="0"/>
            <w:color w:val="0077CC"/>
            <w:position w:val="0"/>
            <w:sz w:val="20"/>
            <w:u w:val="single"/>
            <w:shd w:val="clear" w:color="auto" w:fill="FFFFFF"/>
            <w:vertAlign w:val="baseline"/>
          </w:rPr>
          <w:t>, 378 Md. 315, 835 A.2d 1185, 1191 (Md. 2003)</w:t>
        </w:r>
      </w:hyperlink>
      <w:r>
        <w:rPr>
          <w:rFonts w:ascii="times" w:eastAsia="times" w:hAnsi="times" w:cs="times"/>
          <w:b w:val="0"/>
          <w:i w:val="0"/>
          <w:strike w:val="0"/>
          <w:noProof w:val="0"/>
          <w:color w:val="000000"/>
          <w:position w:val="0"/>
          <w:sz w:val="20"/>
          <w:u w:val="none"/>
          <w:vertAlign w:val="baseline"/>
        </w:rPr>
        <w:t xml:space="preserve">). </w:t>
      </w:r>
      <w:bookmarkStart w:id="49" w:name="Bookmark_I64KM5M32SF8F40030000400_2"/>
      <w:bookmarkEnd w:id="49"/>
      <w:r>
        <w:rPr>
          <w:rFonts w:ascii="times" w:eastAsia="times" w:hAnsi="times" w:cs="times"/>
          <w:b w:val="0"/>
          <w:i w:val="0"/>
          <w:strike w:val="0"/>
          <w:noProof w:val="0"/>
          <w:color w:val="000000"/>
          <w:position w:val="0"/>
          <w:sz w:val="20"/>
          <w:u w:val="none"/>
          <w:vertAlign w:val="baseline"/>
        </w:rPr>
        <w:t xml:space="preserve">Relatedly, "exemptions from remedial legislation must be narrowly construed."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(quoting </w:t>
      </w:r>
      <w:bookmarkStart w:id="50" w:name="Bookmark_I64KM5M32SF8F40020000400"/>
      <w:bookmarkEnd w:id="50"/>
      <w:hyperlink r:id="rId23" w:history="1">
        <w:r>
          <w:rPr>
            <w:rFonts w:ascii="times" w:eastAsia="times" w:hAnsi="times" w:cs="times"/>
            <w:b w:val="0"/>
            <w:i/>
            <w:strike w:val="0"/>
            <w:noProof w:val="0"/>
            <w:color w:val="0077CC"/>
            <w:position w:val="0"/>
            <w:sz w:val="20"/>
            <w:u w:val="single"/>
            <w:shd w:val="clear" w:color="auto" w:fill="FFFFFF"/>
            <w:vertAlign w:val="baseline"/>
          </w:rPr>
          <w:t>Lockett</w:t>
        </w:r>
      </w:hyperlink>
      <w:hyperlink r:id="rId23" w:history="1">
        <w:r>
          <w:rPr>
            <w:rFonts w:ascii="times" w:eastAsia="times" w:hAnsi="times" w:cs="times"/>
            <w:b w:val="0"/>
            <w:i w:val="0"/>
            <w:strike w:val="0"/>
            <w:noProof w:val="0"/>
            <w:color w:val="0077CC"/>
            <w:position w:val="0"/>
            <w:sz w:val="20"/>
            <w:u w:val="single"/>
            <w:shd w:val="clear" w:color="auto" w:fill="FFFFFF"/>
            <w:vertAlign w:val="baseline"/>
          </w:rPr>
          <w:t>, 132 A.3d at 272</w:t>
        </w:r>
      </w:hyperlink>
      <w:r>
        <w:rPr>
          <w:rFonts w:ascii="times" w:eastAsia="times" w:hAnsi="times" w:cs="times"/>
          <w:b w:val="0"/>
          <w:i w:val="0"/>
          <w:strike w:val="0"/>
          <w:noProof w:val="0"/>
          <w:color w:val="000000"/>
          <w:position w:val="0"/>
          <w:sz w:val="20"/>
          <w:u w:val="none"/>
          <w:vertAlign w:val="baseline"/>
        </w:rPr>
        <w:t xml:space="preserve">). So we must not "read[] additional exemptions into a remedial statute"; we instead defer to the legislature's judgments. </w:t>
      </w:r>
      <w:r>
        <w:rPr>
          <w:rFonts w:ascii="times" w:eastAsia="times" w:hAnsi="times" w:cs="times"/>
          <w:b w:val="0"/>
          <w:i/>
          <w:strike w:val="0"/>
          <w:noProof w:val="0"/>
          <w:color w:val="000000"/>
          <w:position w:val="0"/>
          <w:sz w:val="20"/>
          <w:u w:val="none"/>
          <w:vertAlign w:val="baseline"/>
        </w:rPr>
        <w:t>Id.</w:t>
      </w:r>
    </w:p>
    <w:p>
      <w:pPr>
        <w:keepNext w:val="0"/>
        <w:widowControl w:val="0"/>
        <w:spacing w:before="240" w:after="0" w:line="260" w:lineRule="atLeast"/>
        <w:ind w:left="0" w:right="0" w:firstLine="0"/>
        <w:jc w:val="both"/>
      </w:pPr>
      <w:bookmarkStart w:id="51" w:name="Bookmark_para_17"/>
      <w:bookmarkEnd w:id="51"/>
      <w:r>
        <w:rPr>
          <w:rFonts w:ascii="times" w:eastAsia="times" w:hAnsi="times" w:cs="times"/>
          <w:b w:val="0"/>
          <w:i w:val="0"/>
          <w:strike w:val="0"/>
          <w:noProof w:val="0"/>
          <w:color w:val="000000"/>
          <w:position w:val="0"/>
          <w:sz w:val="20"/>
          <w:u w:val="none"/>
          <w:vertAlign w:val="baseline"/>
        </w:rPr>
        <w:t xml:space="preserve">Keeping these principles in mind, we turn to plaintiffs' central claim under the MCDCA: that, by charging its convenience fees, Carrington engaged in conduct violating the FDCPA. We hold that Carrington is a "collector" who charged an "amount" that was not "expressly authorized by the agreement creating the debt or permitted by law" in violation of the FDCPA.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16" w:history="1">
        <w:r>
          <w:rPr>
            <w:rFonts w:ascii="times" w:eastAsia="times" w:hAnsi="times" w:cs="times"/>
            <w:b w:val="0"/>
            <w:i w:val="0"/>
            <w:strike w:val="0"/>
            <w:noProof w:val="0"/>
            <w:color w:val="0077CC"/>
            <w:position w:val="0"/>
            <w:sz w:val="20"/>
            <w:u w:val="single"/>
            <w:shd w:val="clear" w:color="auto" w:fill="FFFFFF"/>
            <w:vertAlign w:val="baseline"/>
          </w:rPr>
          <w:t>15 U.S.C. § 1692f(1)</w:t>
        </w:r>
      </w:hyperlink>
      <w:r>
        <w:rPr>
          <w:rFonts w:ascii="times" w:eastAsia="times" w:hAnsi="times" w:cs="times"/>
          <w:b w:val="0"/>
          <w:i w:val="0"/>
          <w:strike w:val="0"/>
          <w:noProof w:val="0"/>
          <w:color w:val="000000"/>
          <w:position w:val="0"/>
          <w:sz w:val="20"/>
          <w:u w:val="none"/>
          <w:vertAlign w:val="baseline"/>
        </w:rPr>
        <w:t>. As a result, we reverse the district court's dismissal of plaintiffs'</w:t>
      </w:r>
      <w:r>
        <w:rPr>
          <w:rFonts w:ascii="times" w:eastAsia="times" w:hAnsi="times" w:cs="times"/>
          <w:b/>
          <w:i w:val="0"/>
          <w:strike w:val="0"/>
          <w:noProof w:val="0"/>
          <w:color w:val="000000"/>
          <w:position w:val="0"/>
          <w:sz w:val="20"/>
          <w:u w:val="none"/>
          <w:vertAlign w:val="baseline"/>
        </w:rPr>
        <w:t> [*8] </w:t>
      </w:r>
      <w:r>
        <w:rPr>
          <w:rFonts w:ascii="times" w:eastAsia="times" w:hAnsi="times" w:cs="times"/>
          <w:b w:val="0"/>
          <w:i w:val="0"/>
          <w:strike w:val="0"/>
          <w:noProof w:val="0"/>
          <w:color w:val="000000"/>
          <w:position w:val="0"/>
          <w:sz w:val="20"/>
          <w:u w:val="none"/>
          <w:vertAlign w:val="baseline"/>
        </w:rPr>
        <w:t xml:space="preserve">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14-202(11)</w:t>
        </w:r>
      </w:hyperlink>
      <w:r>
        <w:rPr>
          <w:rFonts w:ascii="times" w:eastAsia="times" w:hAnsi="times" w:cs="times"/>
          <w:b w:val="0"/>
          <w:i w:val="0"/>
          <w:strike w:val="0"/>
          <w:noProof w:val="0"/>
          <w:color w:val="000000"/>
          <w:position w:val="0"/>
          <w:sz w:val="20"/>
          <w:u w:val="none"/>
          <w:vertAlign w:val="baseline"/>
        </w:rPr>
        <w:t xml:space="preserve"> claim.</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A.</w:t>
      </w:r>
    </w:p>
    <w:p>
      <w:pPr>
        <w:keepNext w:val="0"/>
        <w:widowControl w:val="0"/>
        <w:spacing w:before="240" w:after="0" w:line="260" w:lineRule="atLeast"/>
        <w:ind w:left="0" w:right="0" w:firstLine="0"/>
        <w:jc w:val="both"/>
      </w:pPr>
      <w:bookmarkStart w:id="52" w:name="Bookmark_para_18"/>
      <w:bookmarkEnd w:id="52"/>
      <w:r>
        <w:rPr>
          <w:rFonts w:ascii="times" w:eastAsia="times" w:hAnsi="times" w:cs="times"/>
          <w:b w:val="0"/>
          <w:i w:val="0"/>
          <w:strike w:val="0"/>
          <w:noProof w:val="0"/>
          <w:color w:val="000000"/>
          <w:position w:val="0"/>
          <w:sz w:val="20"/>
          <w:u w:val="none"/>
          <w:vertAlign w:val="baseline"/>
        </w:rPr>
        <w:t xml:space="preserve">We first find that Carrington is a "collector" under the MCDCA. </w:t>
      </w:r>
      <w:bookmarkStart w:id="53" w:name="Bookmark_LNHNREFclscc7"/>
      <w:bookmarkEnd w:id="53"/>
      <w:r>
        <w:rPr>
          <w:rFonts w:ascii="times" w:eastAsia="times" w:hAnsi="times" w:cs="times"/>
          <w:b w:val="0"/>
          <w:i w:val="0"/>
          <w:strike w:val="0"/>
          <w:noProof w:val="0"/>
          <w:color w:val="000000"/>
          <w:position w:val="0"/>
          <w:sz w:val="20"/>
          <w:u w:val="none"/>
          <w:vertAlign w:val="baseline"/>
        </w:rPr>
        <w:t xml:space="preserve">The MCDCA broadly defines a "collector" as "a person collecting or attempting to collect an alleged debt arising out of a consumer transaction." </w:t>
      </w:r>
      <w:hyperlink r:id="rId12" w:history="1">
        <w:r>
          <w:rPr>
            <w:rFonts w:ascii="times" w:eastAsia="times" w:hAnsi="times" w:cs="times"/>
            <w:b w:val="0"/>
            <w:i w:val="0"/>
            <w:strike w:val="0"/>
            <w:noProof w:val="0"/>
            <w:color w:val="0077CC"/>
            <w:position w:val="0"/>
            <w:sz w:val="20"/>
            <w:u w:val="single"/>
            <w:shd w:val="clear" w:color="auto" w:fill="FFFFFF"/>
            <w:vertAlign w:val="baseline"/>
          </w:rPr>
          <w:t>Md. Code Ann., Com. Law § 14-201(b)</w:t>
        </w:r>
      </w:hyperlink>
      <w:r>
        <w:rPr>
          <w:rFonts w:ascii="times" w:eastAsia="times" w:hAnsi="times" w:cs="times"/>
          <w:b w:val="0"/>
          <w:i w:val="0"/>
          <w:strike w:val="0"/>
          <w:noProof w:val="0"/>
          <w:color w:val="000000"/>
          <w:position w:val="0"/>
          <w:sz w:val="20"/>
          <w:u w:val="none"/>
          <w:vertAlign w:val="baseline"/>
        </w:rPr>
        <w:t xml:space="preserve">. Here there is no dispute that Carrington is a person, as the MCDCA defines "person" to include "an individual, corporation, business trust, statutory trust, estate, trust, partnership, association, two or more persons having a joint or common interest, or any other legal or commercial entity."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2" w:history="1">
        <w:r>
          <w:rPr>
            <w:rFonts w:ascii="times" w:eastAsia="times" w:hAnsi="times" w:cs="times"/>
            <w:b w:val="0"/>
            <w:i w:val="0"/>
            <w:strike w:val="0"/>
            <w:noProof w:val="0"/>
            <w:color w:val="0077CC"/>
            <w:position w:val="0"/>
            <w:sz w:val="20"/>
            <w:u w:val="single"/>
            <w:shd w:val="clear" w:color="auto" w:fill="FFFFFF"/>
            <w:vertAlign w:val="baseline"/>
          </w:rPr>
          <w:t>§ 14-201(d)</w:t>
        </w:r>
      </w:hyperlink>
      <w:r>
        <w:rPr>
          <w:rFonts w:ascii="times" w:eastAsia="times" w:hAnsi="times" w:cs="times"/>
          <w:b w:val="0"/>
          <w:i w:val="0"/>
          <w:strike w:val="0"/>
          <w:noProof w:val="0"/>
          <w:color w:val="000000"/>
          <w:position w:val="0"/>
          <w:sz w:val="20"/>
          <w:u w:val="none"/>
          <w:vertAlign w:val="baseline"/>
        </w:rPr>
        <w:t xml:space="preserve">. Nor is there any dispute that plaintiffs' debt arose out of a consumer transaction, which the statute defines as "any transaction involving a person seeking or acquiring real or personal property, services, money, or credit for personal, family, or household purposes."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2" w:history="1">
        <w:r>
          <w:rPr>
            <w:rFonts w:ascii="times" w:eastAsia="times" w:hAnsi="times" w:cs="times"/>
            <w:b w:val="0"/>
            <w:i w:val="0"/>
            <w:strike w:val="0"/>
            <w:noProof w:val="0"/>
            <w:color w:val="0077CC"/>
            <w:position w:val="0"/>
            <w:sz w:val="20"/>
            <w:u w:val="single"/>
            <w:shd w:val="clear" w:color="auto" w:fill="FFFFFF"/>
            <w:vertAlign w:val="baseline"/>
          </w:rPr>
          <w:t>§ 14-201(c)</w:t>
        </w:r>
      </w:hyperlink>
      <w:r>
        <w:rPr>
          <w:rFonts w:ascii="times" w:eastAsia="times" w:hAnsi="times" w:cs="times"/>
          <w:b w:val="0"/>
          <w:i w:val="0"/>
          <w:strike w:val="0"/>
          <w:noProof w:val="0"/>
          <w:color w:val="000000"/>
          <w:position w:val="0"/>
          <w:sz w:val="20"/>
          <w:u w:val="none"/>
          <w:vertAlign w:val="baseline"/>
        </w:rPr>
        <w:t>. And it is plain that, by collecting borrowers' monthly mortgage payments, Carrington is collecting a debt. Each piece of the statutory puzzle thus fits together: Carrington counts as a "collector" under the MCDCA.</w:t>
      </w:r>
    </w:p>
    <w:p>
      <w:pPr>
        <w:keepNext w:val="0"/>
        <w:widowControl w:val="0"/>
        <w:spacing w:before="240" w:after="0" w:line="260" w:lineRule="atLeast"/>
        <w:ind w:left="0" w:right="0" w:firstLine="0"/>
        <w:jc w:val="both"/>
      </w:pPr>
      <w:bookmarkStart w:id="54" w:name="Bookmark_para_19"/>
      <w:bookmarkEnd w:id="54"/>
      <w:r>
        <w:rPr>
          <w:rFonts w:ascii="times" w:eastAsia="times" w:hAnsi="times" w:cs="times"/>
          <w:b w:val="0"/>
          <w:i w:val="0"/>
          <w:strike w:val="0"/>
          <w:noProof w:val="0"/>
          <w:color w:val="000000"/>
          <w:position w:val="0"/>
          <w:sz w:val="20"/>
          <w:u w:val="none"/>
          <w:vertAlign w:val="baseline"/>
        </w:rPr>
        <w:t>To avoid this result, Carrington offers three arguments. Yet each would have us add safe-harbor exceptions which are nowhere to be found within the MCDCA. First, Carrington would have us distinguish</w:t>
      </w:r>
      <w:r>
        <w:rPr>
          <w:rFonts w:ascii="times" w:eastAsia="times" w:hAnsi="times" w:cs="times"/>
          <w:b/>
          <w:i w:val="0"/>
          <w:strike w:val="0"/>
          <w:noProof w:val="0"/>
          <w:color w:val="000000"/>
          <w:position w:val="0"/>
          <w:sz w:val="20"/>
          <w:u w:val="none"/>
          <w:vertAlign w:val="baseline"/>
        </w:rPr>
        <w:t> [*9] </w:t>
      </w:r>
      <w:r>
        <w:rPr>
          <w:rFonts w:ascii="times" w:eastAsia="times" w:hAnsi="times" w:cs="times"/>
          <w:b w:val="0"/>
          <w:i w:val="0"/>
          <w:strike w:val="0"/>
          <w:noProof w:val="0"/>
          <w:color w:val="000000"/>
          <w:position w:val="0"/>
          <w:sz w:val="20"/>
          <w:u w:val="none"/>
          <w:vertAlign w:val="baseline"/>
        </w:rPr>
        <w:t xml:space="preserve"> between loan servicing and debt collection, exempting the former from the MCDCA's reach. </w:t>
      </w:r>
      <w:bookmarkStart w:id="55" w:name="Bookmark_I64KM5M32SF8F40050000400"/>
      <w:bookmarkEnd w:id="55"/>
      <w:r>
        <w:rPr>
          <w:rFonts w:ascii="times" w:eastAsia="times" w:hAnsi="times" w:cs="times"/>
          <w:b w:val="0"/>
          <w:i w:val="0"/>
          <w:strike w:val="0"/>
          <w:noProof w:val="0"/>
          <w:color w:val="000000"/>
          <w:position w:val="0"/>
          <w:sz w:val="20"/>
          <w:u w:val="none"/>
          <w:vertAlign w:val="baseline"/>
        </w:rPr>
        <w:t xml:space="preserve">Passively accepting monthly payments, Carrington says, is a world away from actively enforcing the payment obligations of defaulting borrowers. Maybe so, but the statute draws no such distinction. Because "[r]eading additional exemptions into a remedial statute limits the possibility of remedies beyond what the Legislature intended," </w:t>
      </w:r>
      <w:bookmarkStart w:id="56" w:name="Bookmark_I64KM5M32SF8F40040000400"/>
      <w:bookmarkEnd w:id="56"/>
      <w:hyperlink r:id="rId13" w:history="1">
        <w:r>
          <w:rPr>
            <w:rFonts w:ascii="times" w:eastAsia="times" w:hAnsi="times" w:cs="times"/>
            <w:b w:val="0"/>
            <w:i/>
            <w:strike w:val="0"/>
            <w:noProof w:val="0"/>
            <w:color w:val="0077CC"/>
            <w:position w:val="0"/>
            <w:sz w:val="20"/>
            <w:u w:val="single"/>
            <w:shd w:val="clear" w:color="auto" w:fill="FFFFFF"/>
            <w:vertAlign w:val="baseline"/>
          </w:rPr>
          <w:t>Mills</w:t>
        </w:r>
      </w:hyperlink>
      <w:hyperlink r:id="rId13" w:history="1">
        <w:r>
          <w:rPr>
            <w:rFonts w:ascii="times" w:eastAsia="times" w:hAnsi="times" w:cs="times"/>
            <w:b w:val="0"/>
            <w:i w:val="0"/>
            <w:strike w:val="0"/>
            <w:noProof w:val="0"/>
            <w:color w:val="0077CC"/>
            <w:position w:val="0"/>
            <w:sz w:val="20"/>
            <w:u w:val="single"/>
            <w:shd w:val="clear" w:color="auto" w:fill="FFFFFF"/>
            <w:vertAlign w:val="baseline"/>
          </w:rPr>
          <w:t>, 223 A.3d at 968</w:t>
        </w:r>
      </w:hyperlink>
      <w:r>
        <w:rPr>
          <w:rFonts w:ascii="times" w:eastAsia="times" w:hAnsi="times" w:cs="times"/>
          <w:b w:val="0"/>
          <w:i w:val="0"/>
          <w:strike w:val="0"/>
          <w:noProof w:val="0"/>
          <w:color w:val="000000"/>
          <w:position w:val="0"/>
          <w:sz w:val="20"/>
          <w:u w:val="none"/>
          <w:vertAlign w:val="baseline"/>
        </w:rPr>
        <w:t>, we decline Carrington's invitation to do just that.</w:t>
      </w:r>
    </w:p>
    <w:p>
      <w:pPr>
        <w:keepNext w:val="0"/>
        <w:widowControl w:val="0"/>
        <w:spacing w:before="200" w:after="0" w:line="260" w:lineRule="atLeast"/>
        <w:ind w:left="0" w:right="0" w:firstLine="0"/>
        <w:jc w:val="both"/>
      </w:pPr>
      <w:bookmarkStart w:id="57" w:name="Bookmark_para_20"/>
      <w:bookmarkEnd w:id="57"/>
      <w:bookmarkStart w:id="58" w:name="Bookmark_I64KM5M32SF8F50020000400"/>
      <w:bookmarkEnd w:id="58"/>
      <w:r>
        <w:rPr>
          <w:rFonts w:ascii="times" w:eastAsia="times" w:hAnsi="times" w:cs="times"/>
          <w:b w:val="0"/>
          <w:i w:val="0"/>
          <w:strike w:val="0"/>
          <w:noProof w:val="0"/>
          <w:color w:val="000000"/>
          <w:position w:val="0"/>
          <w:sz w:val="20"/>
          <w:u w:val="none"/>
          <w:vertAlign w:val="baseline"/>
        </w:rPr>
        <w:t xml:space="preserve">Next, Carrington argues that plaintiffs must challenge a "method of collection" and not simply the validity of the fees. Until recently, that argument may have held some water. But in </w:t>
      </w:r>
      <w:bookmarkStart w:id="59" w:name="Bookmark_I64KM5M32SF8F50010000400"/>
      <w:bookmarkEnd w:id="59"/>
      <w:hyperlink r:id="rId26" w:history="1">
        <w:r>
          <w:rPr>
            <w:rFonts w:ascii="times" w:eastAsia="times" w:hAnsi="times" w:cs="times"/>
            <w:b w:val="0"/>
            <w:i/>
            <w:strike w:val="0"/>
            <w:noProof w:val="0"/>
            <w:color w:val="0077CC"/>
            <w:position w:val="0"/>
            <w:sz w:val="20"/>
            <w:u w:val="single"/>
            <w:shd w:val="clear" w:color="auto" w:fill="FFFFFF"/>
            <w:vertAlign w:val="baseline"/>
          </w:rPr>
          <w:t>Chavis v. Blibaum &amp;Assocs., P.A.</w:t>
        </w:r>
      </w:hyperlink>
      <w:hyperlink r:id="rId26" w:history="1">
        <w:r>
          <w:rPr>
            <w:rFonts w:ascii="times" w:eastAsia="times" w:hAnsi="times" w:cs="times"/>
            <w:b w:val="0"/>
            <w:i w:val="0"/>
            <w:strike w:val="0"/>
            <w:noProof w:val="0"/>
            <w:color w:val="0077CC"/>
            <w:position w:val="0"/>
            <w:sz w:val="20"/>
            <w:u w:val="single"/>
            <w:shd w:val="clear" w:color="auto" w:fill="FFFFFF"/>
            <w:vertAlign w:val="baseline"/>
          </w:rPr>
          <w:t>, 2021 Md. LEXIS 430, 2021 WL 3828655, at *11 (Md. Aug. 27, 2021)</w:t>
        </w:r>
      </w:hyperlink>
      <w:r>
        <w:rPr>
          <w:rFonts w:ascii="times" w:eastAsia="times" w:hAnsi="times" w:cs="times"/>
          <w:b w:val="0"/>
          <w:i w:val="0"/>
          <w:strike w:val="0"/>
          <w:noProof w:val="0"/>
          <w:color w:val="000000"/>
          <w:position w:val="0"/>
          <w:sz w:val="20"/>
          <w:u w:val="none"/>
          <w:vertAlign w:val="baseline"/>
        </w:rPr>
        <w:t xml:space="preserve">, the Court of Appeals of Maryland rejected it altogether. Interpreting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14-202(8)</w:t>
        </w:r>
      </w:hyperlink>
      <w:r>
        <w:rPr>
          <w:rFonts w:ascii="times" w:eastAsia="times" w:hAnsi="times" w:cs="times"/>
          <w:b w:val="0"/>
          <w:i w:val="0"/>
          <w:strike w:val="0"/>
          <w:noProof w:val="0"/>
          <w:color w:val="000000"/>
          <w:position w:val="0"/>
          <w:sz w:val="20"/>
          <w:u w:val="none"/>
          <w:vertAlign w:val="baseline"/>
        </w:rPr>
        <w:t xml:space="preserve">, Maryland's high court found that "nothing in the MCDCA generally, or in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w:t>
        </w:r>
      </w:hyperlink>
      <w:r>
        <w:rPr>
          <w:rFonts w:ascii="times" w:eastAsia="times" w:hAnsi="times" w:cs="times"/>
          <w:b w:val="0"/>
          <w:i w:val="0"/>
          <w:strike w:val="0"/>
          <w:noProof w:val="0"/>
          <w:color w:val="000000"/>
          <w:position w:val="0"/>
          <w:sz w:val="20"/>
          <w:u w:val="none"/>
          <w:vertAlign w:val="baseline"/>
        </w:rPr>
        <w:t xml:space="preserve"> specifically," limited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14-202(8)</w:t>
        </w:r>
      </w:hyperlink>
      <w:r>
        <w:rPr>
          <w:rFonts w:ascii="times" w:eastAsia="times" w:hAnsi="times" w:cs="times"/>
          <w:b w:val="0"/>
          <w:i w:val="0"/>
          <w:strike w:val="0"/>
          <w:noProof w:val="0"/>
          <w:color w:val="000000"/>
          <w:position w:val="0"/>
          <w:sz w:val="20"/>
          <w:u w:val="none"/>
          <w:vertAlign w:val="baseline"/>
        </w:rPr>
        <w:t xml:space="preserve">'s applicability to methods of debt collection.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The same reasoning applies to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14-202(11)</w:t>
        </w:r>
      </w:hyperlink>
      <w:r>
        <w:rPr>
          <w:rFonts w:ascii="times" w:eastAsia="times" w:hAnsi="times" w:cs="times"/>
          <w:b w:val="0"/>
          <w:i w:val="0"/>
          <w:strike w:val="0"/>
          <w:noProof w:val="0"/>
          <w:color w:val="000000"/>
          <w:position w:val="0"/>
          <w:sz w:val="20"/>
          <w:u w:val="none"/>
          <w:vertAlign w:val="baseline"/>
        </w:rPr>
        <w:t xml:space="preserve">, which likewise says nothing about methods. </w:t>
      </w:r>
      <w:bookmarkStart w:id="60" w:name="Bookmark_LNHNREFclscc8"/>
      <w:bookmarkEnd w:id="60"/>
      <w:r>
        <w:rPr>
          <w:rFonts w:ascii="times" w:eastAsia="times" w:hAnsi="times" w:cs="times"/>
          <w:b w:val="0"/>
          <w:i w:val="0"/>
          <w:strike w:val="0"/>
          <w:noProof w:val="0"/>
          <w:color w:val="000000"/>
          <w:position w:val="0"/>
          <w:sz w:val="20"/>
          <w:u w:val="none"/>
          <w:vertAlign w:val="baseline"/>
        </w:rPr>
        <w:t xml:space="preserve">So while "it is not inaccurate to say that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w:t>
        </w:r>
      </w:hyperlink>
      <w:r>
        <w:rPr>
          <w:rFonts w:ascii="times" w:eastAsia="times" w:hAnsi="times" w:cs="times"/>
          <w:b w:val="0"/>
          <w:i w:val="0"/>
          <w:strike w:val="0"/>
          <w:noProof w:val="0"/>
          <w:color w:val="000000"/>
          <w:position w:val="0"/>
          <w:sz w:val="20"/>
          <w:u w:val="none"/>
          <w:vertAlign w:val="baseline"/>
        </w:rPr>
        <w:t xml:space="preserve"> deals with methods of debt collection, it is more accurate to describe the statute as regulating the conduct of a person while engaged in debt collection."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To put it simply, Carrington is collecting</w:t>
      </w:r>
      <w:r>
        <w:rPr>
          <w:rFonts w:ascii="times" w:eastAsia="times" w:hAnsi="times" w:cs="times"/>
          <w:b/>
          <w:i w:val="0"/>
          <w:strike w:val="0"/>
          <w:noProof w:val="0"/>
          <w:color w:val="000000"/>
          <w:position w:val="0"/>
          <w:sz w:val="20"/>
          <w:u w:val="none"/>
          <w:vertAlign w:val="baseline"/>
        </w:rPr>
        <w:t> [*10] </w:t>
      </w:r>
      <w:r>
        <w:rPr>
          <w:rFonts w:ascii="times" w:eastAsia="times" w:hAnsi="times" w:cs="times"/>
          <w:b w:val="0"/>
          <w:i w:val="0"/>
          <w:strike w:val="0"/>
          <w:noProof w:val="0"/>
          <w:color w:val="000000"/>
          <w:position w:val="0"/>
          <w:sz w:val="20"/>
          <w:u w:val="none"/>
          <w:vertAlign w:val="baseline"/>
        </w:rPr>
        <w:t xml:space="preserve"> a debt; the means it chooses does not make it any less of a collector. We therefore refuse to place Carrington's extra-statutory hurdle in plaintiffs' path.</w:t>
      </w:r>
    </w:p>
    <w:p>
      <w:pPr>
        <w:keepNext w:val="0"/>
        <w:widowControl w:val="0"/>
        <w:spacing w:before="240" w:after="0" w:line="260" w:lineRule="atLeast"/>
        <w:ind w:left="0" w:right="0" w:firstLine="0"/>
        <w:jc w:val="both"/>
      </w:pPr>
      <w:bookmarkStart w:id="61" w:name="Bookmark_para_21"/>
      <w:bookmarkEnd w:id="61"/>
      <w:r>
        <w:rPr>
          <w:rFonts w:ascii="times" w:eastAsia="times" w:hAnsi="times" w:cs="times"/>
          <w:b w:val="0"/>
          <w:i w:val="0"/>
          <w:strike w:val="0"/>
          <w:noProof w:val="0"/>
          <w:color w:val="000000"/>
          <w:position w:val="0"/>
          <w:sz w:val="20"/>
          <w:u w:val="none"/>
          <w:vertAlign w:val="baseline"/>
        </w:rPr>
        <w:t xml:space="preserve">Carrington has one final arrow in its quiver. It argues that even if it is a "collector" under the MCDCA, plaintiffs must also show that Carrington is a "debt collector" under the FDCPA to establish a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14-202(11)</w:t>
        </w:r>
      </w:hyperlink>
      <w:r>
        <w:rPr>
          <w:rFonts w:ascii="times" w:eastAsia="times" w:hAnsi="times" w:cs="times"/>
          <w:b w:val="0"/>
          <w:i w:val="0"/>
          <w:strike w:val="0"/>
          <w:noProof w:val="0"/>
          <w:color w:val="000000"/>
          <w:position w:val="0"/>
          <w:sz w:val="20"/>
          <w:u w:val="none"/>
          <w:vertAlign w:val="baseline"/>
        </w:rPr>
        <w:t xml:space="preserve"> violation. We disagree. </w:t>
      </w:r>
      <w:bookmarkStart w:id="62" w:name="Bookmark_LNHNREFclscc9"/>
      <w:bookmarkEnd w:id="62"/>
      <w:r>
        <w:rPr>
          <w:rFonts w:ascii="times" w:eastAsia="times" w:hAnsi="times" w:cs="times"/>
          <w:b w:val="0"/>
          <w:i w:val="0"/>
          <w:strike w:val="0"/>
          <w:noProof w:val="0"/>
          <w:color w:val="000000"/>
          <w:position w:val="0"/>
          <w:sz w:val="20"/>
          <w:u w:val="none"/>
          <w:vertAlign w:val="baseline"/>
        </w:rPr>
        <w:t xml:space="preserve">While the FDCPA's definition of "debt collector" includes a requirement that the debt be in default, the MCDCA's definition has no similar limitation. </w:t>
      </w:r>
      <w:r>
        <w:rPr>
          <w:rFonts w:ascii="times" w:eastAsia="times" w:hAnsi="times" w:cs="times"/>
          <w:b w:val="0"/>
          <w:i/>
          <w:strike w:val="0"/>
          <w:noProof w:val="0"/>
          <w:color w:val="000000"/>
          <w:position w:val="0"/>
          <w:sz w:val="20"/>
          <w:u w:val="none"/>
          <w:vertAlign w:val="baseline"/>
        </w:rPr>
        <w:t>Compare</w:t>
      </w:r>
      <w:r>
        <w:rPr>
          <w:rFonts w:ascii="times" w:eastAsia="times" w:hAnsi="times" w:cs="times"/>
          <w:b w:val="0"/>
          <w:i w:val="0"/>
          <w:strike w:val="0"/>
          <w:noProof w:val="0"/>
          <w:color w:val="000000"/>
          <w:position w:val="0"/>
          <w:sz w:val="20"/>
          <w:u w:val="none"/>
          <w:vertAlign w:val="baseline"/>
        </w:rPr>
        <w:t xml:space="preserve"> </w:t>
      </w:r>
      <w:hyperlink r:id="rId27" w:history="1">
        <w:r>
          <w:rPr>
            <w:rFonts w:ascii="times" w:eastAsia="times" w:hAnsi="times" w:cs="times"/>
            <w:b w:val="0"/>
            <w:i w:val="0"/>
            <w:strike w:val="0"/>
            <w:noProof w:val="0"/>
            <w:color w:val="0077CC"/>
            <w:position w:val="0"/>
            <w:sz w:val="20"/>
            <w:u w:val="single"/>
            <w:shd w:val="clear" w:color="auto" w:fill="FFFFFF"/>
            <w:vertAlign w:val="baseline"/>
          </w:rPr>
          <w:t>15 U.S.C. § 1692a(6)(F)(iii)</w:t>
        </w:r>
      </w:hyperlink>
      <w:r>
        <w:rPr>
          <w:rFonts w:ascii="times" w:eastAsia="times" w:hAnsi="times" w:cs="times"/>
          <w:b w:val="0"/>
          <w:i w:val="0"/>
          <w:strike w:val="0"/>
          <w:noProof w:val="0"/>
          <w:color w:val="000000"/>
          <w:position w:val="0"/>
          <w:sz w:val="20"/>
          <w:u w:val="none"/>
          <w:vertAlign w:val="baseline"/>
        </w:rPr>
        <w:t xml:space="preserve"> with </w:t>
      </w:r>
      <w:hyperlink r:id="rId12" w:history="1">
        <w:r>
          <w:rPr>
            <w:rFonts w:ascii="times" w:eastAsia="times" w:hAnsi="times" w:cs="times"/>
            <w:b w:val="0"/>
            <w:i w:val="0"/>
            <w:strike w:val="0"/>
            <w:noProof w:val="0"/>
            <w:color w:val="0077CC"/>
            <w:position w:val="0"/>
            <w:sz w:val="20"/>
            <w:u w:val="single"/>
            <w:shd w:val="clear" w:color="auto" w:fill="FFFFFF"/>
            <w:vertAlign w:val="baseline"/>
          </w:rPr>
          <w:t>Md. Code Ann., Com. Law § 14-201(b)</w:t>
        </w:r>
      </w:hyperlink>
      <w:r>
        <w:rPr>
          <w:rFonts w:ascii="times" w:eastAsia="times" w:hAnsi="times" w:cs="times"/>
          <w:b w:val="0"/>
          <w:i w:val="0"/>
          <w:strike w:val="0"/>
          <w:noProof w:val="0"/>
          <w:color w:val="000000"/>
          <w:position w:val="0"/>
          <w:sz w:val="20"/>
          <w:u w:val="none"/>
          <w:vertAlign w:val="baseline"/>
        </w:rPr>
        <w:t>.</w:t>
      </w:r>
    </w:p>
    <w:p>
      <w:pPr>
        <w:spacing w:before="200"/>
      </w:pPr>
      <w:bookmarkStart w:id="63" w:name="Bookmark_para_22"/>
      <w:bookmarkEnd w:id="63"/>
    </w:p>
    <w:p>
      <w:pPr>
        <w:spacing w:before="200"/>
      </w:pPr>
      <w:bookmarkStart w:id="64" w:name="Bookmark_para_23"/>
      <w:bookmarkEnd w:id="64"/>
    </w:p>
    <w:p>
      <w:pPr>
        <w:keepNext w:val="0"/>
        <w:widowControl w:val="0"/>
        <w:spacing w:before="240" w:after="0" w:line="260" w:lineRule="atLeast"/>
        <w:ind w:left="0" w:right="0" w:firstLine="0"/>
        <w:jc w:val="both"/>
      </w:pPr>
      <w:bookmarkStart w:id="65" w:name="Bookmark_para_24"/>
      <w:bookmarkEnd w:id="65"/>
      <w:bookmarkStart w:id="66" w:name="Bookmark_I64KM5M32SF8F50040000400"/>
      <w:bookmarkEnd w:id="66"/>
      <w:r>
        <w:rPr>
          <w:rFonts w:ascii="times" w:eastAsia="times" w:hAnsi="times" w:cs="times"/>
          <w:b w:val="0"/>
          <w:i w:val="0"/>
          <w:strike w:val="0"/>
          <w:noProof w:val="0"/>
          <w:color w:val="000000"/>
          <w:position w:val="0"/>
          <w:sz w:val="20"/>
          <w:u w:val="none"/>
          <w:vertAlign w:val="baseline"/>
        </w:rPr>
        <w:t>The MCDCA's broader definition controls here, as it is not displaced by the federal definition. Indeed, the Maryland legislature was intentional on this front: it incorporated only the FDCPA's "substantive provisions" (</w:t>
      </w:r>
      <w:hyperlink r:id="rId28" w:history="1">
        <w:r>
          <w:rPr>
            <w:rFonts w:ascii="times" w:eastAsia="times" w:hAnsi="times" w:cs="times"/>
            <w:b w:val="0"/>
            <w:i w:val="0"/>
            <w:strike w:val="0"/>
            <w:noProof w:val="0"/>
            <w:color w:val="0077CC"/>
            <w:position w:val="0"/>
            <w:sz w:val="20"/>
            <w:u w:val="single"/>
            <w:shd w:val="clear" w:color="auto" w:fill="FFFFFF"/>
            <w:vertAlign w:val="baseline"/>
          </w:rPr>
          <w:t>sections 804 through 812</w:t>
        </w:r>
      </w:hyperlink>
      <w:r>
        <w:rPr>
          <w:rFonts w:ascii="times" w:eastAsia="times" w:hAnsi="times" w:cs="times"/>
          <w:b w:val="0"/>
          <w:i w:val="0"/>
          <w:strike w:val="0"/>
          <w:noProof w:val="0"/>
          <w:color w:val="000000"/>
          <w:position w:val="0"/>
          <w:sz w:val="20"/>
          <w:u w:val="none"/>
          <w:vertAlign w:val="baseline"/>
        </w:rPr>
        <w:t xml:space="preserve">). </w:t>
      </w:r>
      <w:bookmarkStart w:id="67" w:name="Bookmark_I64KM5M32SF8F50030000400"/>
      <w:bookmarkEnd w:id="67"/>
      <w:hyperlink r:id="rId26" w:history="1">
        <w:r>
          <w:rPr>
            <w:rFonts w:ascii="times" w:eastAsia="times" w:hAnsi="times" w:cs="times"/>
            <w:b w:val="0"/>
            <w:i/>
            <w:strike w:val="0"/>
            <w:noProof w:val="0"/>
            <w:color w:val="0077CC"/>
            <w:position w:val="0"/>
            <w:sz w:val="20"/>
            <w:u w:val="single"/>
            <w:shd w:val="clear" w:color="auto" w:fill="FFFFFF"/>
            <w:vertAlign w:val="baseline"/>
          </w:rPr>
          <w:t>Chavis</w:t>
        </w:r>
      </w:hyperlink>
      <w:hyperlink r:id="rId26" w:history="1">
        <w:r>
          <w:rPr>
            <w:rFonts w:ascii="times" w:eastAsia="times" w:hAnsi="times" w:cs="times"/>
            <w:b w:val="0"/>
            <w:i w:val="0"/>
            <w:strike w:val="0"/>
            <w:noProof w:val="0"/>
            <w:color w:val="0077CC"/>
            <w:position w:val="0"/>
            <w:sz w:val="20"/>
            <w:u w:val="single"/>
            <w:shd w:val="clear" w:color="auto" w:fill="FFFFFF"/>
            <w:vertAlign w:val="baseline"/>
          </w:rPr>
          <w:t>, 2021 Md. LEXIS 430, 2021 WL 3828655, at *14 n.14</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15" w:history="1">
        <w:r>
          <w:rPr>
            <w:rFonts w:ascii="times" w:eastAsia="times" w:hAnsi="times" w:cs="times"/>
            <w:b w:val="0"/>
            <w:i w:val="0"/>
            <w:strike w:val="0"/>
            <w:noProof w:val="0"/>
            <w:color w:val="0077CC"/>
            <w:position w:val="0"/>
            <w:sz w:val="20"/>
            <w:u w:val="single"/>
            <w:shd w:val="clear" w:color="auto" w:fill="FFFFFF"/>
            <w:vertAlign w:val="baseline"/>
          </w:rPr>
          <w:t>Md. Code Ann., Com. Law § 14-202(11)</w:t>
        </w:r>
      </w:hyperlink>
      <w:r>
        <w:rPr>
          <w:rFonts w:ascii="times" w:eastAsia="times" w:hAnsi="times" w:cs="times"/>
          <w:b w:val="0"/>
          <w:i w:val="0"/>
          <w:strike w:val="0"/>
          <w:noProof w:val="0"/>
          <w:color w:val="000000"/>
          <w:position w:val="0"/>
          <w:sz w:val="20"/>
          <w:u w:val="none"/>
          <w:vertAlign w:val="baseline"/>
        </w:rPr>
        <w:t xml:space="preserve">. It did not incorporate </w:t>
      </w:r>
      <w:hyperlink r:id="rId27" w:history="1">
        <w:r>
          <w:rPr>
            <w:rFonts w:ascii="times" w:eastAsia="times" w:hAnsi="times" w:cs="times"/>
            <w:b w:val="0"/>
            <w:i w:val="0"/>
            <w:strike w:val="0"/>
            <w:noProof w:val="0"/>
            <w:color w:val="0077CC"/>
            <w:position w:val="0"/>
            <w:sz w:val="20"/>
            <w:u w:val="single"/>
            <w:shd w:val="clear" w:color="auto" w:fill="FFFFFF"/>
            <w:vertAlign w:val="baseline"/>
          </w:rPr>
          <w:t>section 803</w:t>
        </w:r>
      </w:hyperlink>
      <w:r>
        <w:rPr>
          <w:rFonts w:ascii="times" w:eastAsia="times" w:hAnsi="times" w:cs="times"/>
          <w:b w:val="0"/>
          <w:i w:val="0"/>
          <w:strike w:val="0"/>
          <w:noProof w:val="0"/>
          <w:color w:val="000000"/>
          <w:position w:val="0"/>
          <w:sz w:val="20"/>
          <w:u w:val="none"/>
          <w:vertAlign w:val="baseline"/>
        </w:rPr>
        <w:t xml:space="preserve">, which includes the FDCPA's narrower definition of "debt collector."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27" w:history="1">
        <w:r>
          <w:rPr>
            <w:rFonts w:ascii="times" w:eastAsia="times" w:hAnsi="times" w:cs="times"/>
            <w:b w:val="0"/>
            <w:i w:val="0"/>
            <w:strike w:val="0"/>
            <w:noProof w:val="0"/>
            <w:color w:val="0077CC"/>
            <w:position w:val="0"/>
            <w:sz w:val="20"/>
            <w:u w:val="single"/>
            <w:shd w:val="clear" w:color="auto" w:fill="FFFFFF"/>
            <w:vertAlign w:val="baseline"/>
          </w:rPr>
          <w:t>FDCPA § 803, 15 U.S.C. § 1692a(6)</w:t>
        </w:r>
      </w:hyperlink>
      <w:r>
        <w:rPr>
          <w:rFonts w:ascii="times" w:eastAsia="times" w:hAnsi="times" w:cs="times"/>
          <w:b w:val="0"/>
          <w:i w:val="0"/>
          <w:strike w:val="0"/>
          <w:noProof w:val="0"/>
          <w:color w:val="000000"/>
          <w:position w:val="0"/>
          <w:sz w:val="20"/>
          <w:u w:val="none"/>
          <w:vertAlign w:val="baseline"/>
        </w:rPr>
        <w:t xml:space="preserve">. </w:t>
      </w:r>
      <w:bookmarkStart w:id="68" w:name="Bookmark_I64KM5M32N1R160010000400"/>
      <w:bookmarkEnd w:id="68"/>
      <w:r>
        <w:rPr>
          <w:rFonts w:ascii="times" w:eastAsia="times" w:hAnsi="times" w:cs="times"/>
          <w:b w:val="0"/>
          <w:i w:val="0"/>
          <w:strike w:val="0"/>
          <w:noProof w:val="0"/>
          <w:color w:val="000000"/>
          <w:position w:val="0"/>
          <w:sz w:val="20"/>
          <w:u w:val="none"/>
          <w:vertAlign w:val="baseline"/>
        </w:rPr>
        <w:t xml:space="preserve">Nor did it incorporate, for example, the FDCPA's remedial structure as to affirmative defenses, the statute of limitations, or civil remedies.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29" w:history="1">
        <w:r>
          <w:rPr>
            <w:rFonts w:ascii="times" w:eastAsia="times" w:hAnsi="times" w:cs="times"/>
            <w:b w:val="0"/>
            <w:i w:val="0"/>
            <w:strike w:val="0"/>
            <w:noProof w:val="0"/>
            <w:color w:val="0077CC"/>
            <w:position w:val="0"/>
            <w:sz w:val="20"/>
            <w:u w:val="single"/>
            <w:shd w:val="clear" w:color="auto" w:fill="FFFFFF"/>
            <w:vertAlign w:val="baseline"/>
          </w:rPr>
          <w:t>FDCPA § 813, 15 U.S.C. § 1692k</w:t>
        </w:r>
      </w:hyperlink>
      <w:r>
        <w:rPr>
          <w:rFonts w:ascii="times" w:eastAsia="times" w:hAnsi="times" w:cs="times"/>
          <w:b w:val="0"/>
          <w:i w:val="0"/>
          <w:strike w:val="0"/>
          <w:noProof w:val="0"/>
          <w:color w:val="000000"/>
          <w:position w:val="0"/>
          <w:sz w:val="20"/>
          <w:u w:val="none"/>
          <w:vertAlign w:val="baseline"/>
        </w:rPr>
        <w:t xml:space="preserve">. </w:t>
      </w:r>
      <w:bookmarkStart w:id="69" w:name="Bookmark_LNHNREFclscc10"/>
      <w:bookmarkEnd w:id="69"/>
      <w:r>
        <w:rPr>
          <w:rFonts w:ascii="times" w:eastAsia="times" w:hAnsi="times" w:cs="times"/>
          <w:b w:val="0"/>
          <w:i w:val="0"/>
          <w:strike w:val="0"/>
          <w:noProof w:val="0"/>
          <w:color w:val="000000"/>
          <w:position w:val="0"/>
          <w:sz w:val="20"/>
          <w:u w:val="none"/>
          <w:vertAlign w:val="baseline"/>
        </w:rPr>
        <w:t xml:space="preserve">The end result, as Maryland district courts have recognized, is that "the MCDCA applies more broadly than the FDCPA." </w:t>
      </w:r>
      <w:bookmarkStart w:id="70" w:name="Bookmark_I64KM5M32SF8F50050000400"/>
      <w:bookmarkEnd w:id="70"/>
      <w:hyperlink r:id="rId30" w:history="1">
        <w:r>
          <w:rPr>
            <w:rFonts w:ascii="times" w:eastAsia="times" w:hAnsi="times" w:cs="times"/>
            <w:b w:val="0"/>
            <w:i/>
            <w:strike w:val="0"/>
            <w:noProof w:val="0"/>
            <w:color w:val="0077CC"/>
            <w:position w:val="0"/>
            <w:sz w:val="20"/>
            <w:u w:val="single"/>
            <w:shd w:val="clear" w:color="auto" w:fill="FFFFFF"/>
            <w:vertAlign w:val="baseline"/>
          </w:rPr>
          <w:t>Aghazu v. Severn Savings Bank</w:t>
        </w:r>
      </w:hyperlink>
      <w:hyperlink r:id="rId30" w:history="1">
        <w:r>
          <w:rPr>
            <w:rFonts w:ascii="times" w:eastAsia="times" w:hAnsi="times" w:cs="times"/>
            <w:b w:val="0"/>
            <w:i w:val="0"/>
            <w:strike w:val="0"/>
            <w:noProof w:val="0"/>
            <w:color w:val="0077CC"/>
            <w:position w:val="0"/>
            <w:sz w:val="20"/>
            <w:u w:val="single"/>
            <w:shd w:val="clear" w:color="auto" w:fill="FFFFFF"/>
            <w:vertAlign w:val="baseline"/>
          </w:rPr>
          <w:t>, 2017 U.S. Dist. LEXIS 37607, 2017 WL 1020828, at *8 n.21 (D. Md. Mar. 16, 2017)</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see also </w:t>
      </w:r>
      <w:bookmarkStart w:id="71" w:name="Bookmark_I64KM5M32N1R160020000400"/>
      <w:bookmarkEnd w:id="71"/>
      <w:hyperlink r:id="rId31" w:history="1">
        <w:r>
          <w:rPr>
            <w:rFonts w:ascii="times" w:eastAsia="times" w:hAnsi="times" w:cs="times"/>
            <w:b w:val="0"/>
            <w:i/>
            <w:strike w:val="0"/>
            <w:noProof w:val="0"/>
            <w:color w:val="0077CC"/>
            <w:position w:val="0"/>
            <w:sz w:val="20"/>
            <w:u w:val="single"/>
            <w:shd w:val="clear" w:color="auto" w:fill="FFFFFF"/>
            <w:vertAlign w:val="baseline"/>
          </w:rPr>
          <w:t>Awah v. Cap. One Bank</w:t>
        </w:r>
      </w:hyperlink>
      <w:hyperlink r:id="rId31" w:history="1">
        <w:r>
          <w:rPr>
            <w:rFonts w:ascii="times" w:eastAsia="times" w:hAnsi="times" w:cs="times"/>
            <w:b w:val="0"/>
            <w:i w:val="0"/>
            <w:strike w:val="0"/>
            <w:noProof w:val="0"/>
            <w:color w:val="0077CC"/>
            <w:position w:val="0"/>
            <w:sz w:val="20"/>
            <w:u w:val="single"/>
            <w:shd w:val="clear" w:color="auto" w:fill="FFFFFF"/>
            <w:vertAlign w:val="baseline"/>
          </w:rPr>
          <w:t>, 2015 U.S. Dist. LEXIS 7342, 2015 WL 302880, at *4 n.8 (D. Md. Jan. 22, 2015)</w:t>
        </w:r>
      </w:hyperlink>
      <w:r>
        <w:rPr>
          <w:rFonts w:ascii="times" w:eastAsia="times" w:hAnsi="times" w:cs="times"/>
          <w:b w:val="0"/>
          <w:i w:val="0"/>
          <w:strike w:val="0"/>
          <w:noProof w:val="0"/>
          <w:color w:val="000000"/>
          <w:position w:val="0"/>
          <w:sz w:val="20"/>
          <w:u w:val="none"/>
          <w:vertAlign w:val="baseline"/>
        </w:rPr>
        <w:t xml:space="preserve"> ("The MCDCA contains a broader definition</w:t>
      </w:r>
      <w:r>
        <w:rPr>
          <w:rFonts w:ascii="times" w:eastAsia="times" w:hAnsi="times" w:cs="times"/>
          <w:b/>
          <w:i w:val="0"/>
          <w:strike w:val="0"/>
          <w:noProof w:val="0"/>
          <w:color w:val="000000"/>
          <w:position w:val="0"/>
          <w:sz w:val="20"/>
          <w:u w:val="none"/>
          <w:vertAlign w:val="baseline"/>
        </w:rPr>
        <w:t> [*11] </w:t>
      </w:r>
      <w:r>
        <w:rPr>
          <w:rFonts w:ascii="times" w:eastAsia="times" w:hAnsi="times" w:cs="times"/>
          <w:b w:val="0"/>
          <w:i w:val="0"/>
          <w:strike w:val="0"/>
          <w:noProof w:val="0"/>
          <w:color w:val="000000"/>
          <w:position w:val="0"/>
          <w:sz w:val="20"/>
          <w:u w:val="none"/>
          <w:vertAlign w:val="baseline"/>
        </w:rPr>
        <w:t xml:space="preserve"> of 'collector' than the definition of 'debt collector' under the FDCPA."). And the FDCPA itself specifies that state laws affording greater protection to consumers are not inconsistent with its own safeguards.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32" w:history="1">
        <w:r>
          <w:rPr>
            <w:rFonts w:ascii="times" w:eastAsia="times" w:hAnsi="times" w:cs="times"/>
            <w:b w:val="0"/>
            <w:i w:val="0"/>
            <w:strike w:val="0"/>
            <w:noProof w:val="0"/>
            <w:color w:val="0077CC"/>
            <w:position w:val="0"/>
            <w:sz w:val="20"/>
            <w:u w:val="single"/>
            <w:shd w:val="clear" w:color="auto" w:fill="FFFFFF"/>
            <w:vertAlign w:val="baseline"/>
          </w:rPr>
          <w:t>15 U.S.C. § 1692n</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00" w:after="0" w:line="260" w:lineRule="atLeast"/>
        <w:ind w:left="0" w:right="0" w:firstLine="0"/>
        <w:jc w:val="both"/>
      </w:pPr>
      <w:bookmarkStart w:id="72" w:name="Bookmark_para_25"/>
      <w:bookmarkEnd w:id="72"/>
      <w:bookmarkStart w:id="73" w:name="Bookmark_LNHNREFclscc11"/>
      <w:bookmarkEnd w:id="73"/>
      <w:r>
        <w:rPr>
          <w:rFonts w:ascii="times" w:eastAsia="times" w:hAnsi="times" w:cs="times"/>
          <w:b w:val="0"/>
          <w:i w:val="0"/>
          <w:strike w:val="0"/>
          <w:noProof w:val="0"/>
          <w:color w:val="000000"/>
          <w:position w:val="0"/>
          <w:sz w:val="20"/>
          <w:u w:val="none"/>
          <w:vertAlign w:val="baseline"/>
        </w:rPr>
        <w:t xml:space="preserve">This makes good sense. Just as federal law need not totally preempt state law, so also state law need not totally incorporate federal law. </w:t>
      </w:r>
      <w:r>
        <w:rPr>
          <w:rFonts w:ascii="times" w:eastAsia="times" w:hAnsi="times" w:cs="times"/>
          <w:b w:val="0"/>
          <w:i/>
          <w:strike w:val="0"/>
          <w:noProof w:val="0"/>
          <w:color w:val="000000"/>
          <w:position w:val="0"/>
          <w:sz w:val="20"/>
          <w:u w:val="none"/>
          <w:vertAlign w:val="baseline"/>
        </w:rPr>
        <w:t>See, e.g.</w:t>
      </w:r>
      <w:r>
        <w:rPr>
          <w:rFonts w:ascii="times" w:eastAsia="times" w:hAnsi="times" w:cs="times"/>
          <w:b w:val="0"/>
          <w:i w:val="0"/>
          <w:strike w:val="0"/>
          <w:noProof w:val="0"/>
          <w:color w:val="000000"/>
          <w:position w:val="0"/>
          <w:sz w:val="20"/>
          <w:u w:val="none"/>
          <w:vertAlign w:val="baseline"/>
        </w:rPr>
        <w:t xml:space="preserve">, Kevin M. Clermont, </w:t>
      </w:r>
      <w:r>
        <w:rPr>
          <w:rFonts w:ascii="times" w:eastAsia="times" w:hAnsi="times" w:cs="times"/>
          <w:b w:val="0"/>
          <w:i/>
          <w:strike w:val="0"/>
          <w:noProof w:val="0"/>
          <w:color w:val="000000"/>
          <w:position w:val="0"/>
          <w:sz w:val="20"/>
          <w:u w:val="none"/>
          <w:vertAlign w:val="baseline"/>
        </w:rPr>
        <w:t>Degrees of Deference: Applying vs. Adopting Another Sovereign's Law</w:t>
      </w:r>
      <w:r>
        <w:rPr>
          <w:rFonts w:ascii="times" w:eastAsia="times" w:hAnsi="times" w:cs="times"/>
          <w:b w:val="0"/>
          <w:i w:val="0"/>
          <w:strike w:val="0"/>
          <w:noProof w:val="0"/>
          <w:color w:val="000000"/>
          <w:position w:val="0"/>
          <w:sz w:val="20"/>
          <w:u w:val="none"/>
          <w:vertAlign w:val="baseline"/>
        </w:rPr>
        <w:t xml:space="preserve">, </w:t>
      </w:r>
      <w:hyperlink r:id="rId33" w:history="1">
        <w:r>
          <w:rPr>
            <w:rFonts w:ascii="times" w:eastAsia="times" w:hAnsi="times" w:cs="times"/>
            <w:b w:val="0"/>
            <w:i w:val="0"/>
            <w:strike w:val="0"/>
            <w:noProof w:val="0"/>
            <w:color w:val="0077CC"/>
            <w:position w:val="0"/>
            <w:sz w:val="20"/>
            <w:u w:val="single"/>
            <w:shd w:val="clear" w:color="auto" w:fill="FFFFFF"/>
            <w:vertAlign w:val="baseline"/>
          </w:rPr>
          <w:t>103 Cornell L. Rev. 243, 270 (2018)</w:t>
        </w:r>
      </w:hyperlink>
      <w:r>
        <w:rPr>
          <w:rFonts w:ascii="times" w:eastAsia="times" w:hAnsi="times" w:cs="times"/>
          <w:b w:val="0"/>
          <w:i w:val="0"/>
          <w:strike w:val="0"/>
          <w:noProof w:val="0"/>
          <w:color w:val="000000"/>
          <w:position w:val="0"/>
          <w:sz w:val="20"/>
          <w:u w:val="none"/>
          <w:vertAlign w:val="baseline"/>
        </w:rPr>
        <w:t xml:space="preserve">; Ronald J. Greene, </w:t>
      </w:r>
      <w:r>
        <w:rPr>
          <w:rFonts w:ascii="times" w:eastAsia="times" w:hAnsi="times" w:cs="times"/>
          <w:b w:val="0"/>
          <w:i/>
          <w:strike w:val="0"/>
          <w:noProof w:val="0"/>
          <w:color w:val="000000"/>
          <w:position w:val="0"/>
          <w:sz w:val="20"/>
          <w:u w:val="none"/>
          <w:vertAlign w:val="baseline"/>
        </w:rPr>
        <w:t>Hybrid State Law in the Federal Courts</w:t>
      </w:r>
      <w:r>
        <w:rPr>
          <w:rFonts w:ascii="times" w:eastAsia="times" w:hAnsi="times" w:cs="times"/>
          <w:b w:val="0"/>
          <w:i w:val="0"/>
          <w:strike w:val="0"/>
          <w:noProof w:val="0"/>
          <w:color w:val="000000"/>
          <w:position w:val="0"/>
          <w:sz w:val="20"/>
          <w:u w:val="none"/>
          <w:vertAlign w:val="baseline"/>
        </w:rPr>
        <w:t xml:space="preserve">, 83 Harv. L. Rev. 289, 290-91 (1969). Instead, state legislatures can incorporate federal law to the extent that they see fit; incorporation is no all-or-nothing enterprise. So while some states only incorporate federal definitions (as to, say, the tax code), Clermont, </w:t>
      </w:r>
      <w:r>
        <w:rPr>
          <w:rFonts w:ascii="times" w:eastAsia="times" w:hAnsi="times" w:cs="times"/>
          <w:b w:val="0"/>
          <w:i/>
          <w:strike w:val="0"/>
          <w:noProof w:val="0"/>
          <w:color w:val="000000"/>
          <w:position w:val="0"/>
          <w:sz w:val="20"/>
          <w:u w:val="none"/>
          <w:vertAlign w:val="baseline"/>
        </w:rPr>
        <w:t>supra</w:t>
      </w:r>
      <w:r>
        <w:rPr>
          <w:rFonts w:ascii="times" w:eastAsia="times" w:hAnsi="times" w:cs="times"/>
          <w:b w:val="0"/>
          <w:i w:val="0"/>
          <w:strike w:val="0"/>
          <w:noProof w:val="0"/>
          <w:color w:val="000000"/>
          <w:position w:val="0"/>
          <w:sz w:val="20"/>
          <w:u w:val="none"/>
          <w:vertAlign w:val="baseline"/>
        </w:rPr>
        <w:t>, at 308, other states are well within their rights to incorporate federal substance while retaining definitions of their own. This is precisely what Maryland has done, and so Carrington need not be a debt collector under federal standards for plaintiffs' state claim to proceed.</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B.</w:t>
      </w:r>
    </w:p>
    <w:p>
      <w:pPr>
        <w:keepNext w:val="0"/>
        <w:widowControl w:val="0"/>
        <w:spacing w:before="240" w:after="0" w:line="260" w:lineRule="atLeast"/>
        <w:ind w:left="0" w:right="0" w:firstLine="0"/>
        <w:jc w:val="both"/>
      </w:pPr>
      <w:bookmarkStart w:id="74" w:name="Bookmark_para_26"/>
      <w:bookmarkEnd w:id="74"/>
      <w:r>
        <w:rPr>
          <w:rFonts w:ascii="times" w:eastAsia="times" w:hAnsi="times" w:cs="times"/>
          <w:b w:val="0"/>
          <w:i w:val="0"/>
          <w:strike w:val="0"/>
          <w:noProof w:val="0"/>
          <w:color w:val="000000"/>
          <w:position w:val="0"/>
          <w:sz w:val="20"/>
          <w:u w:val="none"/>
          <w:vertAlign w:val="baseline"/>
        </w:rPr>
        <w:t xml:space="preserve">We next hold that Carrington's convenience fees qualify as an "amount" under the FDCPA. </w:t>
      </w:r>
      <w:bookmarkStart w:id="75" w:name="Bookmark_LNHNREFclscc12"/>
      <w:bookmarkEnd w:id="75"/>
      <w:r>
        <w:rPr>
          <w:rFonts w:ascii="times" w:eastAsia="times" w:hAnsi="times" w:cs="times"/>
          <w:b w:val="0"/>
          <w:i w:val="0"/>
          <w:strike w:val="0"/>
          <w:noProof w:val="0"/>
          <w:color w:val="000000"/>
          <w:position w:val="0"/>
          <w:sz w:val="20"/>
          <w:u w:val="none"/>
          <w:vertAlign w:val="baseline"/>
        </w:rPr>
        <w:t xml:space="preserve">The FDCPA prohibits "[t]he collection of </w:t>
      </w:r>
      <w:r>
        <w:rPr>
          <w:rFonts w:ascii="times" w:eastAsia="times" w:hAnsi="times" w:cs="times"/>
          <w:b w:val="0"/>
          <w:i/>
          <w:strike w:val="0"/>
          <w:noProof w:val="0"/>
          <w:color w:val="000000"/>
          <w:position w:val="0"/>
          <w:sz w:val="20"/>
          <w:u w:val="none"/>
          <w:vertAlign w:val="baseline"/>
        </w:rPr>
        <w:t>any amount</w:t>
      </w:r>
      <w:r>
        <w:rPr>
          <w:rFonts w:ascii="times" w:eastAsia="times" w:hAnsi="times" w:cs="times"/>
          <w:b w:val="0"/>
          <w:i w:val="0"/>
          <w:strike w:val="0"/>
          <w:noProof w:val="0"/>
          <w:color w:val="000000"/>
          <w:position w:val="0"/>
          <w:sz w:val="20"/>
          <w:u w:val="none"/>
          <w:vertAlign w:val="baseline"/>
        </w:rPr>
        <w:t xml:space="preserve"> (including any interest, fee, charge or expense incidental</w:t>
      </w:r>
      <w:r>
        <w:rPr>
          <w:rFonts w:ascii="times" w:eastAsia="times" w:hAnsi="times" w:cs="times"/>
          <w:b/>
          <w:i w:val="0"/>
          <w:strike w:val="0"/>
          <w:noProof w:val="0"/>
          <w:color w:val="000000"/>
          <w:position w:val="0"/>
          <w:sz w:val="20"/>
          <w:u w:val="none"/>
          <w:vertAlign w:val="baseline"/>
        </w:rPr>
        <w:t> [*12] </w:t>
      </w:r>
      <w:r>
        <w:rPr>
          <w:rFonts w:ascii="times" w:eastAsia="times" w:hAnsi="times" w:cs="times"/>
          <w:b w:val="0"/>
          <w:i w:val="0"/>
          <w:strike w:val="0"/>
          <w:noProof w:val="0"/>
          <w:color w:val="000000"/>
          <w:position w:val="0"/>
          <w:sz w:val="20"/>
          <w:u w:val="none"/>
          <w:vertAlign w:val="baseline"/>
        </w:rPr>
        <w:t xml:space="preserve"> to the principal obligation) unless such amount is expressly authorized by the agreement creating the debt or permitted by law." </w:t>
      </w:r>
      <w:hyperlink r:id="rId16" w:history="1">
        <w:r>
          <w:rPr>
            <w:rFonts w:ascii="times" w:eastAsia="times" w:hAnsi="times" w:cs="times"/>
            <w:b w:val="0"/>
            <w:i w:val="0"/>
            <w:strike w:val="0"/>
            <w:noProof w:val="0"/>
            <w:color w:val="0077CC"/>
            <w:position w:val="0"/>
            <w:sz w:val="20"/>
            <w:u w:val="single"/>
            <w:shd w:val="clear" w:color="auto" w:fill="FFFFFF"/>
            <w:vertAlign w:val="baseline"/>
          </w:rPr>
          <w:t>15 U.S.C. § 1692f(1)</w:t>
        </w:r>
      </w:hyperlink>
      <w:r>
        <w:rPr>
          <w:rFonts w:ascii="times" w:eastAsia="times" w:hAnsi="times" w:cs="times"/>
          <w:b w:val="0"/>
          <w:i w:val="0"/>
          <w:strike w:val="0"/>
          <w:noProof w:val="0"/>
          <w:color w:val="000000"/>
          <w:position w:val="0"/>
          <w:sz w:val="20"/>
          <w:u w:val="none"/>
          <w:vertAlign w:val="baseline"/>
        </w:rPr>
        <w:t xml:space="preserve"> (emphasis added). Carrington claims that the FDCPA only prohibits fees that are "incidental" to the mortgage debt. But this misreads the statute.</w:t>
      </w:r>
    </w:p>
    <w:p>
      <w:pPr>
        <w:keepNext w:val="0"/>
        <w:widowControl w:val="0"/>
        <w:spacing w:before="200" w:after="0" w:line="260" w:lineRule="atLeast"/>
        <w:ind w:left="0" w:right="0" w:firstLine="0"/>
        <w:jc w:val="both"/>
      </w:pPr>
      <w:bookmarkStart w:id="76" w:name="Bookmark_para_27"/>
      <w:bookmarkEnd w:id="76"/>
      <w:bookmarkStart w:id="77" w:name="Bookmark_I64KM5M32N1R160050000400"/>
      <w:bookmarkEnd w:id="77"/>
      <w:bookmarkStart w:id="78" w:name="Bookmark_I64KM5M42SF8F90040000400"/>
      <w:bookmarkEnd w:id="78"/>
      <w:r>
        <w:rPr>
          <w:rFonts w:ascii="times" w:eastAsia="times" w:hAnsi="times" w:cs="times"/>
          <w:b w:val="0"/>
          <w:i w:val="0"/>
          <w:strike w:val="0"/>
          <w:noProof w:val="0"/>
          <w:color w:val="000000"/>
          <w:position w:val="0"/>
          <w:sz w:val="20"/>
          <w:u w:val="none"/>
          <w:vertAlign w:val="baseline"/>
        </w:rPr>
        <w:t xml:space="preserve">Examine the statutory language, which forbids the collection of "any" amount and gives a non-exhaustive list of examples "includ[ed]" within this ban. This linguistic construction ought to be read broadly. </w:t>
      </w:r>
      <w:bookmarkStart w:id="79" w:name="Bookmark_LNHNREFclscc13"/>
      <w:bookmarkEnd w:id="79"/>
      <w:r>
        <w:rPr>
          <w:rFonts w:ascii="times" w:eastAsia="times" w:hAnsi="times" w:cs="times"/>
          <w:b w:val="0"/>
          <w:i w:val="0"/>
          <w:strike w:val="0"/>
          <w:noProof w:val="0"/>
          <w:color w:val="000000"/>
          <w:position w:val="0"/>
          <w:sz w:val="20"/>
          <w:u w:val="none"/>
          <w:vertAlign w:val="baseline"/>
        </w:rPr>
        <w:t xml:space="preserve">As the Supreme Court has indicated, "[r]ead naturally, the word 'any' has an expansive meaning, that is, 'one or some indiscriminately of whatever kind.'" </w:t>
      </w:r>
      <w:bookmarkStart w:id="80" w:name="Bookmark_I64KM5M32N1R160040000400"/>
      <w:bookmarkEnd w:id="80"/>
      <w:hyperlink r:id="rId34" w:history="1">
        <w:r>
          <w:rPr>
            <w:rFonts w:ascii="times" w:eastAsia="times" w:hAnsi="times" w:cs="times"/>
            <w:b w:val="0"/>
            <w:i/>
            <w:strike w:val="0"/>
            <w:noProof w:val="0"/>
            <w:color w:val="0077CC"/>
            <w:position w:val="0"/>
            <w:sz w:val="20"/>
            <w:u w:val="single"/>
            <w:shd w:val="clear" w:color="auto" w:fill="FFFFFF"/>
            <w:vertAlign w:val="baseline"/>
          </w:rPr>
          <w:t>Ali v. Fed. Bureau of Prisons</w:t>
        </w:r>
      </w:hyperlink>
      <w:hyperlink r:id="rId34" w:history="1">
        <w:r>
          <w:rPr>
            <w:rFonts w:ascii="times" w:eastAsia="times" w:hAnsi="times" w:cs="times"/>
            <w:b w:val="0"/>
            <w:i w:val="0"/>
            <w:strike w:val="0"/>
            <w:noProof w:val="0"/>
            <w:color w:val="0077CC"/>
            <w:position w:val="0"/>
            <w:sz w:val="20"/>
            <w:u w:val="single"/>
            <w:shd w:val="clear" w:color="auto" w:fill="FFFFFF"/>
            <w:vertAlign w:val="baseline"/>
          </w:rPr>
          <w:t>, 552 U.S. 214, 219, 128 S. Ct. 831, 169 L. Ed. 2d 680 (2008)</w:t>
        </w:r>
      </w:hyperlink>
      <w:r>
        <w:rPr>
          <w:rFonts w:ascii="times" w:eastAsia="times" w:hAnsi="times" w:cs="times"/>
          <w:b w:val="0"/>
          <w:i w:val="0"/>
          <w:strike w:val="0"/>
          <w:noProof w:val="0"/>
          <w:color w:val="000000"/>
          <w:position w:val="0"/>
          <w:sz w:val="20"/>
          <w:u w:val="none"/>
          <w:vertAlign w:val="baseline"/>
        </w:rPr>
        <w:t xml:space="preserve"> (quoting </w:t>
      </w:r>
      <w:bookmarkStart w:id="81" w:name="Bookmark_I64KM5M42SF8F90010000400"/>
      <w:bookmarkEnd w:id="81"/>
      <w:hyperlink r:id="rId35" w:history="1">
        <w:r>
          <w:rPr>
            <w:rFonts w:ascii="times" w:eastAsia="times" w:hAnsi="times" w:cs="times"/>
            <w:b w:val="0"/>
            <w:i/>
            <w:strike w:val="0"/>
            <w:noProof w:val="0"/>
            <w:color w:val="0077CC"/>
            <w:position w:val="0"/>
            <w:sz w:val="20"/>
            <w:u w:val="single"/>
            <w:shd w:val="clear" w:color="auto" w:fill="FFFFFF"/>
            <w:vertAlign w:val="baseline"/>
          </w:rPr>
          <w:t>United States v. Gonzales</w:t>
        </w:r>
      </w:hyperlink>
      <w:hyperlink r:id="rId35" w:history="1">
        <w:r>
          <w:rPr>
            <w:rFonts w:ascii="times" w:eastAsia="times" w:hAnsi="times" w:cs="times"/>
            <w:b w:val="0"/>
            <w:i w:val="0"/>
            <w:strike w:val="0"/>
            <w:noProof w:val="0"/>
            <w:color w:val="0077CC"/>
            <w:position w:val="0"/>
            <w:sz w:val="20"/>
            <w:u w:val="single"/>
            <w:shd w:val="clear" w:color="auto" w:fill="FFFFFF"/>
            <w:vertAlign w:val="baseline"/>
          </w:rPr>
          <w:t>, 520 U.S. 1, 5, 117 S. Ct. 1032, 137 L. Ed. 2d 132 (1997)</w:t>
        </w:r>
      </w:hyperlink>
      <w:r>
        <w:rPr>
          <w:rFonts w:ascii="times" w:eastAsia="times" w:hAnsi="times" w:cs="times"/>
          <w:b w:val="0"/>
          <w:i w:val="0"/>
          <w:strike w:val="0"/>
          <w:noProof w:val="0"/>
          <w:color w:val="000000"/>
          <w:position w:val="0"/>
          <w:sz w:val="20"/>
          <w:u w:val="none"/>
          <w:vertAlign w:val="baseline"/>
        </w:rPr>
        <w:t xml:space="preserve">). And "including" is "not [a term] of all-embracing definition, but connotes simply an illustrative application of the general principle." </w:t>
      </w:r>
      <w:bookmarkStart w:id="82" w:name="Bookmark_I64KM5M42SF8F90030000400"/>
      <w:bookmarkEnd w:id="82"/>
      <w:hyperlink r:id="rId36" w:history="1">
        <w:r>
          <w:rPr>
            <w:rFonts w:ascii="times" w:eastAsia="times" w:hAnsi="times" w:cs="times"/>
            <w:b w:val="0"/>
            <w:i/>
            <w:strike w:val="0"/>
            <w:noProof w:val="0"/>
            <w:color w:val="0077CC"/>
            <w:position w:val="0"/>
            <w:sz w:val="20"/>
            <w:u w:val="single"/>
            <w:shd w:val="clear" w:color="auto" w:fill="FFFFFF"/>
            <w:vertAlign w:val="baseline"/>
          </w:rPr>
          <w:t>Fed. Land Bank of St. Paul v. Bismarck Lumber Co.</w:t>
        </w:r>
      </w:hyperlink>
      <w:hyperlink r:id="rId36" w:history="1">
        <w:r>
          <w:rPr>
            <w:rFonts w:ascii="times" w:eastAsia="times" w:hAnsi="times" w:cs="times"/>
            <w:b w:val="0"/>
            <w:i w:val="0"/>
            <w:strike w:val="0"/>
            <w:noProof w:val="0"/>
            <w:color w:val="0077CC"/>
            <w:position w:val="0"/>
            <w:sz w:val="20"/>
            <w:u w:val="single"/>
            <w:shd w:val="clear" w:color="auto" w:fill="FFFFFF"/>
            <w:vertAlign w:val="baseline"/>
          </w:rPr>
          <w:t>, 314 U.S. 95, 100, 62 S. Ct. 1, 86 L. Ed. 65 (1941)</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see also </w:t>
      </w:r>
      <w:bookmarkStart w:id="83" w:name="Bookmark_I64KM5M42SF8F90050000400"/>
      <w:bookmarkEnd w:id="83"/>
      <w:hyperlink r:id="rId37" w:history="1">
        <w:r>
          <w:rPr>
            <w:rFonts w:ascii="times" w:eastAsia="times" w:hAnsi="times" w:cs="times"/>
            <w:b w:val="0"/>
            <w:i/>
            <w:strike w:val="0"/>
            <w:noProof w:val="0"/>
            <w:color w:val="0077CC"/>
            <w:position w:val="0"/>
            <w:sz w:val="20"/>
            <w:u w:val="single"/>
            <w:shd w:val="clear" w:color="auto" w:fill="FFFFFF"/>
            <w:vertAlign w:val="baseline"/>
          </w:rPr>
          <w:t>United States v. Hawley</w:t>
        </w:r>
      </w:hyperlink>
      <w:hyperlink r:id="rId37" w:history="1">
        <w:r>
          <w:rPr>
            <w:rFonts w:ascii="times" w:eastAsia="times" w:hAnsi="times" w:cs="times"/>
            <w:b w:val="0"/>
            <w:i w:val="0"/>
            <w:strike w:val="0"/>
            <w:noProof w:val="0"/>
            <w:color w:val="0077CC"/>
            <w:position w:val="0"/>
            <w:sz w:val="20"/>
            <w:u w:val="single"/>
            <w:shd w:val="clear" w:color="auto" w:fill="FFFFFF"/>
            <w:vertAlign w:val="baseline"/>
          </w:rPr>
          <w:t>, 919 F.3d 252, 256 (4th Cir. 2019)</w:t>
        </w:r>
      </w:hyperlink>
      <w:r>
        <w:rPr>
          <w:rFonts w:ascii="times" w:eastAsia="times" w:hAnsi="times" w:cs="times"/>
          <w:b w:val="0"/>
          <w:i w:val="0"/>
          <w:strike w:val="0"/>
          <w:noProof w:val="0"/>
          <w:color w:val="000000"/>
          <w:position w:val="0"/>
          <w:sz w:val="20"/>
          <w:u w:val="none"/>
          <w:vertAlign w:val="baseline"/>
        </w:rPr>
        <w:t xml:space="preserve"> (explaining that including "is an introductory term for an </w:t>
      </w:r>
      <w:r>
        <w:rPr>
          <w:rFonts w:ascii="times" w:eastAsia="times" w:hAnsi="times" w:cs="times"/>
          <w:b w:val="0"/>
          <w:i/>
          <w:strike w:val="0"/>
          <w:noProof w:val="0"/>
          <w:color w:val="000000"/>
          <w:position w:val="0"/>
          <w:sz w:val="20"/>
          <w:u w:val="none"/>
          <w:vertAlign w:val="baseline"/>
        </w:rPr>
        <w:t>incomplete</w:t>
      </w:r>
      <w:r>
        <w:rPr>
          <w:rFonts w:ascii="times" w:eastAsia="times" w:hAnsi="times" w:cs="times"/>
          <w:b w:val="0"/>
          <w:i w:val="0"/>
          <w:strike w:val="0"/>
          <w:noProof w:val="0"/>
          <w:color w:val="000000"/>
          <w:position w:val="0"/>
          <w:sz w:val="20"/>
          <w:u w:val="none"/>
          <w:vertAlign w:val="baseline"/>
        </w:rPr>
        <w:t xml:space="preserve"> list of examples"); </w:t>
      </w:r>
      <w:r>
        <w:rPr>
          <w:rFonts w:ascii="times" w:eastAsia="times" w:hAnsi="times" w:cs="times"/>
          <w:b w:val="0"/>
          <w:i/>
          <w:strike w:val="0"/>
          <w:noProof w:val="0"/>
          <w:color w:val="000000"/>
          <w:position w:val="0"/>
          <w:sz w:val="20"/>
          <w:u w:val="none"/>
          <w:vertAlign w:val="baseline"/>
        </w:rPr>
        <w:t>Include</w:t>
      </w:r>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Black's Law Dictionary</w:t>
      </w:r>
      <w:r>
        <w:rPr>
          <w:rFonts w:ascii="times" w:eastAsia="times" w:hAnsi="times" w:cs="times"/>
          <w:b w:val="0"/>
          <w:i w:val="0"/>
          <w:strike w:val="0"/>
          <w:noProof w:val="0"/>
          <w:color w:val="000000"/>
          <w:position w:val="0"/>
          <w:sz w:val="20"/>
          <w:u w:val="none"/>
          <w:vertAlign w:val="baseline"/>
        </w:rPr>
        <w:t xml:space="preserve"> (10th ed. 2014) ("The participle </w:t>
      </w:r>
      <w:r>
        <w:rPr>
          <w:rFonts w:ascii="times" w:eastAsia="times" w:hAnsi="times" w:cs="times"/>
          <w:b w:val="0"/>
          <w:i/>
          <w:strike w:val="0"/>
          <w:noProof w:val="0"/>
          <w:color w:val="000000"/>
          <w:position w:val="0"/>
          <w:sz w:val="20"/>
          <w:u w:val="none"/>
          <w:vertAlign w:val="baseline"/>
        </w:rPr>
        <w:t>including</w:t>
      </w:r>
      <w:r>
        <w:rPr>
          <w:rFonts w:ascii="times" w:eastAsia="times" w:hAnsi="times" w:cs="times"/>
          <w:b w:val="0"/>
          <w:i w:val="0"/>
          <w:strike w:val="0"/>
          <w:noProof w:val="0"/>
          <w:color w:val="000000"/>
          <w:position w:val="0"/>
          <w:sz w:val="20"/>
          <w:u w:val="none"/>
          <w:vertAlign w:val="baseline"/>
        </w:rPr>
        <w:t xml:space="preserve"> typically indicates a partial list."). All told, "any amount" means what it says—</w:t>
      </w:r>
      <w:r>
        <w:rPr>
          <w:rFonts w:ascii="times" w:eastAsia="times" w:hAnsi="times" w:cs="times"/>
          <w:b w:val="0"/>
          <w:i/>
          <w:strike w:val="0"/>
          <w:noProof w:val="0"/>
          <w:color w:val="000000"/>
          <w:position w:val="0"/>
          <w:sz w:val="20"/>
          <w:u w:val="none"/>
          <w:vertAlign w:val="baseline"/>
        </w:rPr>
        <w:t>any</w:t>
      </w:r>
      <w:r>
        <w:rPr>
          <w:rFonts w:ascii="times" w:eastAsia="times" w:hAnsi="times" w:cs="times"/>
          <w:b w:val="0"/>
          <w:i w:val="0"/>
          <w:strike w:val="0"/>
          <w:noProof w:val="0"/>
          <w:color w:val="000000"/>
          <w:position w:val="0"/>
          <w:sz w:val="20"/>
          <w:u w:val="none"/>
          <w:vertAlign w:val="baseline"/>
        </w:rPr>
        <w:t xml:space="preserve"> amount, whether or not that amount is incidental to the principal obligation.</w:t>
      </w:r>
    </w:p>
    <w:p>
      <w:pPr>
        <w:keepNext w:val="0"/>
        <w:widowControl w:val="0"/>
        <w:spacing w:before="200" w:after="0" w:line="260" w:lineRule="atLeast"/>
        <w:ind w:left="0" w:right="0" w:firstLine="0"/>
        <w:jc w:val="both"/>
      </w:pPr>
      <w:bookmarkStart w:id="84" w:name="Bookmark_para_28"/>
      <w:bookmarkEnd w:id="84"/>
      <w:r>
        <w:rPr>
          <w:rFonts w:ascii="times" w:eastAsia="times" w:hAnsi="times" w:cs="times"/>
          <w:b w:val="0"/>
          <w:i w:val="0"/>
          <w:strike w:val="0"/>
          <w:noProof w:val="0"/>
          <w:color w:val="000000"/>
          <w:position w:val="0"/>
          <w:sz w:val="20"/>
          <w:u w:val="none"/>
          <w:vertAlign w:val="baseline"/>
        </w:rPr>
        <w:t>To see why Carrington's approach is misguided, imagine a statute that prohibits</w:t>
      </w:r>
      <w:r>
        <w:rPr>
          <w:rFonts w:ascii="times" w:eastAsia="times" w:hAnsi="times" w:cs="times"/>
          <w:b/>
          <w:i w:val="0"/>
          <w:strike w:val="0"/>
          <w:noProof w:val="0"/>
          <w:color w:val="000000"/>
          <w:position w:val="0"/>
          <w:sz w:val="20"/>
          <w:u w:val="none"/>
          <w:vertAlign w:val="baseline"/>
        </w:rPr>
        <w:t> [*13] </w:t>
      </w:r>
      <w:r>
        <w:rPr>
          <w:rFonts w:ascii="times" w:eastAsia="times" w:hAnsi="times" w:cs="times"/>
          <w:b w:val="0"/>
          <w:i w:val="0"/>
          <w:strike w:val="0"/>
          <w:noProof w:val="0"/>
          <w:color w:val="000000"/>
          <w:position w:val="0"/>
          <w:sz w:val="20"/>
          <w:u w:val="none"/>
          <w:vertAlign w:val="baseline"/>
        </w:rPr>
        <w:t xml:space="preserve"> gambling on "any sporting event (including any game, race, or match broadcast on television)." While such a statute gives helpful examples illustrating what "any sporting event" means, this is no exhaustive list. No one would think that the legislature intended for people to bet with impunity on college football games airing exclusively online—or on high-school sports not broadcast anywhere. Yet Carrington's approach would have us narrowly focus on one specified category (games broadcast on television) at the expense of the overarching prohibition (any sporting event).</w:t>
      </w:r>
    </w:p>
    <w:p>
      <w:pPr>
        <w:keepNext w:val="0"/>
        <w:widowControl w:val="0"/>
        <w:spacing w:before="200" w:after="0" w:line="260" w:lineRule="atLeast"/>
        <w:ind w:left="0" w:right="0" w:firstLine="0"/>
        <w:jc w:val="both"/>
      </w:pPr>
      <w:bookmarkStart w:id="85" w:name="Bookmark_para_29"/>
      <w:bookmarkEnd w:id="85"/>
      <w:bookmarkStart w:id="86" w:name="Bookmark_LNHNREFclscc14"/>
      <w:bookmarkEnd w:id="86"/>
      <w:r>
        <w:rPr>
          <w:rFonts w:ascii="times" w:eastAsia="times" w:hAnsi="times" w:cs="times"/>
          <w:b w:val="0"/>
          <w:i w:val="0"/>
          <w:strike w:val="0"/>
          <w:noProof w:val="0"/>
          <w:color w:val="000000"/>
          <w:position w:val="0"/>
          <w:sz w:val="20"/>
          <w:u w:val="none"/>
          <w:vertAlign w:val="baseline"/>
        </w:rPr>
        <w:t>The FDCPA's far-reaching language straightforwardly applies to the collection of "any amount." While convenience fees are not explicitly enumerated, Congress certainly did not want debt collectors to skirt statutory prohibitions through linguistic sophistry. So we have no trouble in concluding that convenience fees are an "amount" under the FDCPA.</w:t>
      </w:r>
      <w:r>
        <w:rPr>
          <w:rFonts w:ascii="times" w:eastAsia="times" w:hAnsi="times" w:cs="times"/>
          <w:vertAlign w:val="superscript"/>
        </w:rPr>
        <w:footnoteReference w:customMarkFollows="1" w:id="3"/>
        <w:t xml:space="preserve">2</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C.</w:t>
      </w:r>
    </w:p>
    <w:p>
      <w:pPr>
        <w:keepNext w:val="0"/>
        <w:widowControl w:val="0"/>
        <w:spacing w:before="240" w:after="0" w:line="260" w:lineRule="atLeast"/>
        <w:ind w:left="0" w:right="0" w:firstLine="0"/>
        <w:jc w:val="both"/>
      </w:pPr>
      <w:bookmarkStart w:id="88" w:name="Bookmark_para_30"/>
      <w:bookmarkEnd w:id="88"/>
      <w:r>
        <w:rPr>
          <w:rFonts w:ascii="times" w:eastAsia="times" w:hAnsi="times" w:cs="times"/>
          <w:b w:val="0"/>
          <w:i w:val="0"/>
          <w:strike w:val="0"/>
          <w:noProof w:val="0"/>
          <w:color w:val="000000"/>
          <w:position w:val="0"/>
          <w:sz w:val="20"/>
          <w:u w:val="none"/>
          <w:vertAlign w:val="baseline"/>
        </w:rPr>
        <w:t xml:space="preserve">We now turn to the final component of plaintiffs'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14-202(11)</w:t>
        </w:r>
      </w:hyperlink>
      <w:r>
        <w:rPr>
          <w:rFonts w:ascii="times" w:eastAsia="times" w:hAnsi="times" w:cs="times"/>
          <w:b w:val="0"/>
          <w:i w:val="0"/>
          <w:strike w:val="0"/>
          <w:noProof w:val="0"/>
          <w:color w:val="000000"/>
          <w:position w:val="0"/>
          <w:sz w:val="20"/>
          <w:u w:val="none"/>
          <w:vertAlign w:val="baseline"/>
        </w:rPr>
        <w:t xml:space="preserve"> claim and hold that Carrington's convenience fees were not "permitted by law." Once more, the FDCPA prohibits "[t]he collection of any amount . . . unless such amount is expressly authorized by the agreement creating</w:t>
      </w:r>
      <w:r>
        <w:rPr>
          <w:rFonts w:ascii="times" w:eastAsia="times" w:hAnsi="times" w:cs="times"/>
          <w:b/>
          <w:i w:val="0"/>
          <w:strike w:val="0"/>
          <w:noProof w:val="0"/>
          <w:color w:val="000000"/>
          <w:position w:val="0"/>
          <w:sz w:val="20"/>
          <w:u w:val="none"/>
          <w:vertAlign w:val="baseline"/>
        </w:rPr>
        <w:t> [*14] </w:t>
      </w:r>
      <w:r>
        <w:rPr>
          <w:rFonts w:ascii="times" w:eastAsia="times" w:hAnsi="times" w:cs="times"/>
          <w:b w:val="0"/>
          <w:i w:val="0"/>
          <w:strike w:val="0"/>
          <w:noProof w:val="0"/>
          <w:color w:val="000000"/>
          <w:position w:val="0"/>
          <w:sz w:val="20"/>
          <w:u w:val="none"/>
          <w:vertAlign w:val="baseline"/>
        </w:rPr>
        <w:t xml:space="preserve"> the debt or permitted by law." </w:t>
      </w:r>
      <w:hyperlink r:id="rId16" w:history="1">
        <w:r>
          <w:rPr>
            <w:rFonts w:ascii="times" w:eastAsia="times" w:hAnsi="times" w:cs="times"/>
            <w:b w:val="0"/>
            <w:i w:val="0"/>
            <w:strike w:val="0"/>
            <w:noProof w:val="0"/>
            <w:color w:val="0077CC"/>
            <w:position w:val="0"/>
            <w:sz w:val="20"/>
            <w:u w:val="single"/>
            <w:shd w:val="clear" w:color="auto" w:fill="FFFFFF"/>
            <w:vertAlign w:val="baseline"/>
          </w:rPr>
          <w:t>15 U.S.C. § 1692f(1)</w:t>
        </w:r>
      </w:hyperlink>
      <w:r>
        <w:rPr>
          <w:rFonts w:ascii="times" w:eastAsia="times" w:hAnsi="times" w:cs="times"/>
          <w:b w:val="0"/>
          <w:i w:val="0"/>
          <w:strike w:val="0"/>
          <w:noProof w:val="0"/>
          <w:color w:val="000000"/>
          <w:position w:val="0"/>
          <w:sz w:val="20"/>
          <w:u w:val="none"/>
          <w:vertAlign w:val="baseline"/>
        </w:rPr>
        <w:t>. While Carrington concedes that the agreements creating the debt do not expressly authorize the convenience fees, the parties vigorously dispute whether those fees are "permitted by law." Plaintiffs argue that "permitted by law" requires express sanction or approval; Carrington thinks that the phrase indicates only a lack of express prohibition. In our view, plaintiffs' interpretation aligns best with the statute: here, "permitted by law" requires affirmative sanction or approval, typically (though not always) from a statute.</w:t>
      </w:r>
    </w:p>
    <w:p>
      <w:pPr>
        <w:keepNext w:val="0"/>
        <w:widowControl w:val="0"/>
        <w:spacing w:before="200" w:after="0" w:line="260" w:lineRule="atLeast"/>
        <w:ind w:left="0" w:right="0" w:firstLine="0"/>
        <w:jc w:val="both"/>
      </w:pPr>
      <w:bookmarkStart w:id="89" w:name="Bookmark_para_31"/>
      <w:bookmarkEnd w:id="89"/>
      <w:r>
        <w:rPr>
          <w:rFonts w:ascii="times" w:eastAsia="times" w:hAnsi="times" w:cs="times"/>
          <w:b w:val="0"/>
          <w:i w:val="0"/>
          <w:strike w:val="0"/>
          <w:noProof w:val="0"/>
          <w:color w:val="000000"/>
          <w:position w:val="0"/>
          <w:sz w:val="20"/>
          <w:u w:val="none"/>
          <w:vertAlign w:val="baseline"/>
        </w:rPr>
        <w:t xml:space="preserve">By itself, "permit" is susceptible to differing interpretations. </w:t>
      </w:r>
      <w:bookmarkStart w:id="90" w:name="Bookmark_LNHNREFclscc15"/>
      <w:bookmarkEnd w:id="90"/>
      <w:r>
        <w:rPr>
          <w:rFonts w:ascii="times" w:eastAsia="times" w:hAnsi="times" w:cs="times"/>
          <w:b w:val="0"/>
          <w:i w:val="0"/>
          <w:strike w:val="0"/>
          <w:noProof w:val="0"/>
          <w:color w:val="000000"/>
          <w:position w:val="0"/>
          <w:sz w:val="20"/>
          <w:u w:val="none"/>
          <w:vertAlign w:val="baseline"/>
        </w:rPr>
        <w:t xml:space="preserve">It can mean, for instance, either "to consent to formally" or "to allow or admit of." </w:t>
      </w:r>
      <w:r>
        <w:rPr>
          <w:rFonts w:ascii="times" w:eastAsia="times" w:hAnsi="times" w:cs="times"/>
          <w:b w:val="0"/>
          <w:i/>
          <w:strike w:val="0"/>
          <w:noProof w:val="0"/>
          <w:color w:val="000000"/>
          <w:position w:val="0"/>
          <w:sz w:val="20"/>
          <w:u w:val="none"/>
          <w:vertAlign w:val="baseline"/>
        </w:rPr>
        <w:t>Permit</w:t>
      </w:r>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Black's Law Dictionary</w:t>
      </w:r>
      <w:r>
        <w:rPr>
          <w:rFonts w:ascii="times" w:eastAsia="times" w:hAnsi="times" w:cs="times"/>
          <w:b w:val="0"/>
          <w:i w:val="0"/>
          <w:strike w:val="0"/>
          <w:noProof w:val="0"/>
          <w:color w:val="000000"/>
          <w:position w:val="0"/>
          <w:sz w:val="20"/>
          <w:u w:val="none"/>
          <w:vertAlign w:val="baseline"/>
        </w:rPr>
        <w:t xml:space="preserve"> (10th ed. 2014). However, "</w:t>
      </w:r>
      <w:r>
        <w:rPr>
          <w:rFonts w:ascii="times" w:eastAsia="times" w:hAnsi="times" w:cs="times"/>
          <w:b w:val="0"/>
          <w:i/>
          <w:strike w:val="0"/>
          <w:noProof w:val="0"/>
          <w:color w:val="000000"/>
          <w:position w:val="0"/>
          <w:sz w:val="20"/>
          <w:u w:val="none"/>
          <w:vertAlign w:val="baseline"/>
        </w:rPr>
        <w:t>allow</w:t>
      </w:r>
      <w:r>
        <w:rPr>
          <w:rFonts w:ascii="times" w:eastAsia="times" w:hAnsi="times" w:cs="times"/>
          <w:b w:val="0"/>
          <w:i w:val="0"/>
          <w:strike w:val="0"/>
          <w:noProof w:val="0"/>
          <w:color w:val="000000"/>
          <w:position w:val="0"/>
          <w:sz w:val="20"/>
          <w:u w:val="none"/>
          <w:vertAlign w:val="baseline"/>
        </w:rPr>
        <w:t xml:space="preserve"> and </w:t>
      </w:r>
      <w:r>
        <w:rPr>
          <w:rFonts w:ascii="times" w:eastAsia="times" w:hAnsi="times" w:cs="times"/>
          <w:b w:val="0"/>
          <w:i/>
          <w:strike w:val="0"/>
          <w:noProof w:val="0"/>
          <w:color w:val="000000"/>
          <w:position w:val="0"/>
          <w:sz w:val="20"/>
          <w:u w:val="none"/>
          <w:vertAlign w:val="baseline"/>
        </w:rPr>
        <w:t>permit</w:t>
      </w:r>
      <w:r>
        <w:rPr>
          <w:rFonts w:ascii="times" w:eastAsia="times" w:hAnsi="times" w:cs="times"/>
          <w:b w:val="0"/>
          <w:i w:val="0"/>
          <w:strike w:val="0"/>
          <w:noProof w:val="0"/>
          <w:color w:val="000000"/>
          <w:position w:val="0"/>
          <w:sz w:val="20"/>
          <w:u w:val="none"/>
          <w:vertAlign w:val="baseline"/>
        </w:rPr>
        <w:t xml:space="preserve"> have an important connotative difference. </w:t>
      </w:r>
      <w:r>
        <w:rPr>
          <w:rFonts w:ascii="times" w:eastAsia="times" w:hAnsi="times" w:cs="times"/>
          <w:b w:val="0"/>
          <w:i/>
          <w:strike w:val="0"/>
          <w:noProof w:val="0"/>
          <w:color w:val="000000"/>
          <w:position w:val="0"/>
          <w:sz w:val="20"/>
          <w:u w:val="none"/>
          <w:vertAlign w:val="baseline"/>
        </w:rPr>
        <w:t>Allow</w:t>
      </w:r>
      <w:r>
        <w:rPr>
          <w:rFonts w:ascii="times" w:eastAsia="times" w:hAnsi="times" w:cs="times"/>
          <w:b w:val="0"/>
          <w:i w:val="0"/>
          <w:strike w:val="0"/>
          <w:noProof w:val="0"/>
          <w:color w:val="000000"/>
          <w:position w:val="0"/>
          <w:sz w:val="20"/>
          <w:u w:val="none"/>
          <w:vertAlign w:val="baseline"/>
        </w:rPr>
        <w:t xml:space="preserve"> . . . suggests merely the absence of opposition, or refraining from a proscription. In contrast, </w:t>
      </w:r>
      <w:r>
        <w:rPr>
          <w:rFonts w:ascii="times" w:eastAsia="times" w:hAnsi="times" w:cs="times"/>
          <w:b w:val="0"/>
          <w:i/>
          <w:strike w:val="0"/>
          <w:noProof w:val="0"/>
          <w:color w:val="000000"/>
          <w:position w:val="0"/>
          <w:sz w:val="20"/>
          <w:u w:val="none"/>
          <w:vertAlign w:val="baseline"/>
        </w:rPr>
        <w:t>permit</w:t>
      </w:r>
      <w:r>
        <w:rPr>
          <w:rFonts w:ascii="times" w:eastAsia="times" w:hAnsi="times" w:cs="times"/>
          <w:b w:val="0"/>
          <w:i w:val="0"/>
          <w:strike w:val="0"/>
          <w:noProof w:val="0"/>
          <w:color w:val="000000"/>
          <w:position w:val="0"/>
          <w:sz w:val="20"/>
          <w:u w:val="none"/>
          <w:vertAlign w:val="baseline"/>
        </w:rPr>
        <w:t xml:space="preserve"> suggests affirmative sanction or approval." Garner's Dictionary of Legal Usage 46 (3d ed. 2011). Here, the legislature chose the word "permit." And it did not use that word by itself, but as part of the phrase "permitted by law." These choices suggest that some</w:t>
      </w:r>
      <w:r>
        <w:rPr>
          <w:rFonts w:ascii="times" w:eastAsia="times" w:hAnsi="times" w:cs="times"/>
          <w:b/>
          <w:i w:val="0"/>
          <w:strike w:val="0"/>
          <w:noProof w:val="0"/>
          <w:color w:val="000000"/>
          <w:position w:val="0"/>
          <w:sz w:val="20"/>
          <w:u w:val="none"/>
          <w:vertAlign w:val="baseline"/>
        </w:rPr>
        <w:t> [*15] </w:t>
      </w:r>
      <w:r>
        <w:rPr>
          <w:rFonts w:ascii="times" w:eastAsia="times" w:hAnsi="times" w:cs="times"/>
          <w:b w:val="0"/>
          <w:i w:val="0"/>
          <w:strike w:val="0"/>
          <w:noProof w:val="0"/>
          <w:color w:val="000000"/>
          <w:position w:val="0"/>
          <w:sz w:val="20"/>
          <w:u w:val="none"/>
          <w:vertAlign w:val="baseline"/>
        </w:rPr>
        <w:t xml:space="preserve"> form of affirmative sanction (that is, some "law"), rather than mere lack of prohibition, is required.</w:t>
      </w:r>
    </w:p>
    <w:p>
      <w:pPr>
        <w:keepNext w:val="0"/>
        <w:widowControl w:val="0"/>
        <w:spacing w:before="200" w:after="0" w:line="260" w:lineRule="atLeast"/>
        <w:ind w:left="0" w:right="0" w:firstLine="0"/>
        <w:jc w:val="both"/>
      </w:pPr>
      <w:bookmarkStart w:id="91" w:name="Bookmark_para_32"/>
      <w:bookmarkEnd w:id="91"/>
      <w:bookmarkStart w:id="92" w:name="Bookmark_I64KM5M52SF8FD0030000400"/>
      <w:bookmarkEnd w:id="92"/>
      <w:bookmarkStart w:id="93" w:name="Bookmark_I64KM5M52HM6N00020000400"/>
      <w:bookmarkEnd w:id="93"/>
      <w:r>
        <w:rPr>
          <w:rFonts w:ascii="times" w:eastAsia="times" w:hAnsi="times" w:cs="times"/>
          <w:b w:val="0"/>
          <w:i w:val="0"/>
          <w:strike w:val="0"/>
          <w:noProof w:val="0"/>
          <w:color w:val="000000"/>
          <w:position w:val="0"/>
          <w:sz w:val="20"/>
          <w:u w:val="none"/>
          <w:vertAlign w:val="baseline"/>
        </w:rPr>
        <w:t xml:space="preserve">Other circuits have likewise read "permitted by law" to require an affirmative sanction. </w:t>
      </w:r>
      <w:r>
        <w:rPr>
          <w:rFonts w:ascii="times" w:eastAsia="times" w:hAnsi="times" w:cs="times"/>
          <w:b w:val="0"/>
          <w:i/>
          <w:strike w:val="0"/>
          <w:noProof w:val="0"/>
          <w:color w:val="000000"/>
          <w:position w:val="0"/>
          <w:sz w:val="20"/>
          <w:u w:val="none"/>
          <w:vertAlign w:val="baseline"/>
        </w:rPr>
        <w:t xml:space="preserve">See </w:t>
      </w:r>
      <w:bookmarkStart w:id="94" w:name="Bookmark_I64KM5M52SF8FD0020000400"/>
      <w:bookmarkEnd w:id="94"/>
      <w:hyperlink r:id="rId38" w:history="1">
        <w:r>
          <w:rPr>
            <w:rFonts w:ascii="times" w:eastAsia="times" w:hAnsi="times" w:cs="times"/>
            <w:b w:val="0"/>
            <w:i/>
            <w:strike w:val="0"/>
            <w:noProof w:val="0"/>
            <w:color w:val="0077CC"/>
            <w:position w:val="0"/>
            <w:sz w:val="20"/>
            <w:u w:val="single"/>
            <w:shd w:val="clear" w:color="auto" w:fill="FFFFFF"/>
            <w:vertAlign w:val="baseline"/>
          </w:rPr>
          <w:t>Tuttle v. Equifax Check</w:t>
        </w:r>
      </w:hyperlink>
      <w:hyperlink r:id="rId38" w:history="1">
        <w:r>
          <w:rPr>
            <w:rFonts w:ascii="times" w:eastAsia="times" w:hAnsi="times" w:cs="times"/>
            <w:b w:val="0"/>
            <w:i w:val="0"/>
            <w:strike w:val="0"/>
            <w:noProof w:val="0"/>
            <w:color w:val="0077CC"/>
            <w:position w:val="0"/>
            <w:sz w:val="20"/>
            <w:u w:val="single"/>
            <w:shd w:val="clear" w:color="auto" w:fill="FFFFFF"/>
            <w:vertAlign w:val="baseline"/>
          </w:rPr>
          <w:t>, 190 F.3d 9, 13 (2d Cir. 1999)</w:t>
        </w:r>
      </w:hyperlink>
      <w:r>
        <w:rPr>
          <w:rFonts w:ascii="times" w:eastAsia="times" w:hAnsi="times" w:cs="times"/>
          <w:b w:val="0"/>
          <w:i w:val="0"/>
          <w:strike w:val="0"/>
          <w:noProof w:val="0"/>
          <w:color w:val="000000"/>
          <w:position w:val="0"/>
          <w:sz w:val="20"/>
          <w:u w:val="none"/>
          <w:vertAlign w:val="baseline"/>
        </w:rPr>
        <w:t xml:space="preserve"> ("If state law neither </w:t>
      </w:r>
      <w:r>
        <w:rPr>
          <w:rFonts w:ascii="times" w:eastAsia="times" w:hAnsi="times" w:cs="times"/>
          <w:b w:val="0"/>
          <w:i/>
          <w:strike w:val="0"/>
          <w:noProof w:val="0"/>
          <w:color w:val="000000"/>
          <w:position w:val="0"/>
          <w:sz w:val="20"/>
          <w:u w:val="none"/>
          <w:vertAlign w:val="baseline"/>
        </w:rPr>
        <w:t>affirmatively permits</w:t>
      </w:r>
      <w:r>
        <w:rPr>
          <w:rFonts w:ascii="times" w:eastAsia="times" w:hAnsi="times" w:cs="times"/>
          <w:b w:val="0"/>
          <w:i w:val="0"/>
          <w:strike w:val="0"/>
          <w:noProof w:val="0"/>
          <w:color w:val="000000"/>
          <w:position w:val="0"/>
          <w:sz w:val="20"/>
          <w:u w:val="none"/>
          <w:vertAlign w:val="baseline"/>
        </w:rPr>
        <w:t xml:space="preserve"> nor expressly prohibits service charges, a service charge can be imposed only if the customer expressly agrees to it in the contract." (emphasis added)); </w:t>
      </w:r>
      <w:bookmarkStart w:id="95" w:name="Bookmark_I64KM5M52SF8FD0040000400"/>
      <w:bookmarkEnd w:id="95"/>
      <w:r>
        <w:rPr>
          <w:rFonts w:ascii="times" w:eastAsia="times" w:hAnsi="times" w:cs="times"/>
          <w:b w:val="0"/>
          <w:i/>
          <w:strike w:val="0"/>
          <w:noProof w:val="0"/>
          <w:color w:val="000000"/>
          <w:position w:val="0"/>
          <w:sz w:val="20"/>
          <w:u w:val="none"/>
          <w:vertAlign w:val="baseline"/>
        </w:rPr>
        <w:t>Seeger v. AFNI, Inc.</w:t>
      </w:r>
      <w:r>
        <w:rPr>
          <w:rFonts w:ascii="times" w:eastAsia="times" w:hAnsi="times" w:cs="times"/>
          <w:b w:val="0"/>
          <w:i w:val="0"/>
          <w:strike w:val="0"/>
          <w:noProof w:val="0"/>
          <w:color w:val="000000"/>
          <w:position w:val="0"/>
          <w:sz w:val="20"/>
          <w:u w:val="none"/>
          <w:vertAlign w:val="baseline"/>
        </w:rPr>
        <w:t>, 548 F.3d 1107, 1112 (7th Cir. 2008)</w:t>
      </w:r>
      <w:r>
        <w:rPr>
          <w:rFonts w:ascii="times" w:eastAsia="times" w:hAnsi="times" w:cs="times"/>
          <w:b w:val="0"/>
          <w:i w:val="0"/>
          <w:strike w:val="0"/>
          <w:noProof w:val="0"/>
          <w:color w:val="000000"/>
          <w:position w:val="0"/>
          <w:sz w:val="20"/>
          <w:u w:val="none"/>
          <w:vertAlign w:val="baseline"/>
        </w:rPr>
        <w:t xml:space="preserve"> ("Neither a law </w:t>
      </w:r>
      <w:r>
        <w:rPr>
          <w:rFonts w:ascii="times" w:eastAsia="times" w:hAnsi="times" w:cs="times"/>
          <w:b w:val="0"/>
          <w:i/>
          <w:strike w:val="0"/>
          <w:noProof w:val="0"/>
          <w:color w:val="000000"/>
          <w:position w:val="0"/>
          <w:sz w:val="20"/>
          <w:u w:val="none"/>
          <w:vertAlign w:val="baseline"/>
        </w:rPr>
        <w:t>expressly permitting</w:t>
      </w:r>
      <w:r>
        <w:rPr>
          <w:rFonts w:ascii="times" w:eastAsia="times" w:hAnsi="times" w:cs="times"/>
          <w:b w:val="0"/>
          <w:i w:val="0"/>
          <w:strike w:val="0"/>
          <w:noProof w:val="0"/>
          <w:color w:val="000000"/>
          <w:position w:val="0"/>
          <w:sz w:val="20"/>
          <w:u w:val="none"/>
          <w:vertAlign w:val="baseline"/>
        </w:rPr>
        <w:t xml:space="preserve"> a collection fee . . . nor an agreement between the [parties] exists here." (emphasis added)). </w:t>
      </w:r>
      <w:bookmarkStart w:id="96" w:name="Bookmark_I64KM5M52HM6N00040000400"/>
      <w:bookmarkEnd w:id="96"/>
      <w:r>
        <w:rPr>
          <w:rFonts w:ascii="times" w:eastAsia="times" w:hAnsi="times" w:cs="times"/>
          <w:b w:val="0"/>
          <w:i w:val="0"/>
          <w:strike w:val="0"/>
          <w:noProof w:val="0"/>
          <w:color w:val="000000"/>
          <w:position w:val="0"/>
          <w:sz w:val="20"/>
          <w:u w:val="none"/>
          <w:vertAlign w:val="baseline"/>
        </w:rPr>
        <w:t xml:space="preserve">As early as 1988, so did the FTC, which had primary enforcement authority over the FDCPA at that time.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bookmarkStart w:id="97" w:name="Bookmark_I64KM5M52HM6N00010000400"/>
      <w:bookmarkEnd w:id="97"/>
      <w:r>
        <w:rPr>
          <w:rFonts w:ascii="times" w:eastAsia="times" w:hAnsi="times" w:cs="times"/>
          <w:b w:val="0"/>
          <w:i w:val="0"/>
          <w:strike w:val="0"/>
          <w:noProof w:val="0"/>
          <w:color w:val="000000"/>
          <w:position w:val="0"/>
          <w:sz w:val="20"/>
          <w:u w:val="none"/>
          <w:vertAlign w:val="baseline"/>
        </w:rPr>
        <w:t>Staff Commentary on the Fair Debt Collection Practices Act, 53 Fed. Reg. 50,097, 50,108 (Dec. 13, 1988)</w:t>
      </w:r>
      <w:r>
        <w:rPr>
          <w:rFonts w:ascii="times" w:eastAsia="times" w:hAnsi="times" w:cs="times"/>
          <w:b w:val="0"/>
          <w:i w:val="0"/>
          <w:strike w:val="0"/>
          <w:noProof w:val="0"/>
          <w:color w:val="000000"/>
          <w:position w:val="0"/>
          <w:sz w:val="20"/>
          <w:u w:val="none"/>
          <w:vertAlign w:val="baseline"/>
        </w:rPr>
        <w:t xml:space="preserve"> ("A debt collector may attempt to collect a fee or charge in addition to the debt if . . . the contract [creating the debt] is silent but the charge is otherwise </w:t>
      </w:r>
      <w:r>
        <w:rPr>
          <w:rFonts w:ascii="times" w:eastAsia="times" w:hAnsi="times" w:cs="times"/>
          <w:b w:val="0"/>
          <w:i/>
          <w:strike w:val="0"/>
          <w:noProof w:val="0"/>
          <w:color w:val="000000"/>
          <w:position w:val="0"/>
          <w:sz w:val="20"/>
          <w:u w:val="none"/>
          <w:vertAlign w:val="baseline"/>
        </w:rPr>
        <w:t>expressly permitted</w:t>
      </w:r>
      <w:r>
        <w:rPr>
          <w:rFonts w:ascii="times" w:eastAsia="times" w:hAnsi="times" w:cs="times"/>
          <w:b w:val="0"/>
          <w:i w:val="0"/>
          <w:strike w:val="0"/>
          <w:noProof w:val="0"/>
          <w:color w:val="000000"/>
          <w:position w:val="0"/>
          <w:sz w:val="20"/>
          <w:u w:val="none"/>
          <w:vertAlign w:val="baseline"/>
        </w:rPr>
        <w:t xml:space="preserve"> by state law." (emphasis added)). </w:t>
      </w:r>
      <w:bookmarkStart w:id="98" w:name="Bookmark_I64KM5M52HM6N00040000400_2"/>
      <w:bookmarkEnd w:id="98"/>
      <w:r>
        <w:rPr>
          <w:rFonts w:ascii="times" w:eastAsia="times" w:hAnsi="times" w:cs="times"/>
          <w:b w:val="0"/>
          <w:i w:val="0"/>
          <w:strike w:val="0"/>
          <w:noProof w:val="0"/>
          <w:color w:val="000000"/>
          <w:position w:val="0"/>
          <w:sz w:val="20"/>
          <w:u w:val="none"/>
          <w:vertAlign w:val="baseline"/>
        </w:rPr>
        <w:t xml:space="preserve">After enforcement authority shifted to the CFPB in 2010, it subsequently issued guidance that also required express permission.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bookmarkStart w:id="99" w:name="Bookmark_I64KM5M52HM6N00030000400"/>
      <w:bookmarkEnd w:id="99"/>
      <w:hyperlink r:id="rId39" w:history="1">
        <w:r>
          <w:rPr>
            <w:rFonts w:ascii="times" w:eastAsia="times" w:hAnsi="times" w:cs="times"/>
            <w:b w:val="0"/>
            <w:i w:val="0"/>
            <w:strike w:val="0"/>
            <w:noProof w:val="0"/>
            <w:color w:val="0077CC"/>
            <w:position w:val="0"/>
            <w:sz w:val="20"/>
            <w:u w:val="single"/>
            <w:shd w:val="clear" w:color="auto" w:fill="FFFFFF"/>
            <w:vertAlign w:val="baseline"/>
          </w:rPr>
          <w:t>CFPB Compliance Bulletin 2017-01, 82 Fed. Reg. 35,936, 35,938 (Aug. 2, 2017)</w:t>
        </w:r>
      </w:hyperlink>
      <w:r>
        <w:rPr>
          <w:rFonts w:ascii="times" w:eastAsia="times" w:hAnsi="times" w:cs="times"/>
          <w:b w:val="0"/>
          <w:i w:val="0"/>
          <w:strike w:val="0"/>
          <w:noProof w:val="0"/>
          <w:color w:val="000000"/>
          <w:position w:val="0"/>
          <w:sz w:val="20"/>
          <w:u w:val="none"/>
          <w:vertAlign w:val="baseline"/>
        </w:rPr>
        <w:t xml:space="preserve"> ("Supervision has found that one or more mortgage servicers . . . violated the [FDCPA] when they charged fees for taking mortgage payments over the phone to borrowers whose mortgage instruments did not expressly authorize</w:t>
      </w:r>
      <w:r>
        <w:rPr>
          <w:rFonts w:ascii="times" w:eastAsia="times" w:hAnsi="times" w:cs="times"/>
          <w:b/>
          <w:i w:val="0"/>
          <w:strike w:val="0"/>
          <w:noProof w:val="0"/>
          <w:color w:val="000000"/>
          <w:position w:val="0"/>
          <w:sz w:val="20"/>
          <w:u w:val="none"/>
          <w:vertAlign w:val="baseline"/>
        </w:rPr>
        <w:t> [*16] </w:t>
      </w:r>
      <w:r>
        <w:rPr>
          <w:rFonts w:ascii="times" w:eastAsia="times" w:hAnsi="times" w:cs="times"/>
          <w:b w:val="0"/>
          <w:i w:val="0"/>
          <w:strike w:val="0"/>
          <w:noProof w:val="0"/>
          <w:color w:val="000000"/>
          <w:position w:val="0"/>
          <w:sz w:val="20"/>
          <w:u w:val="none"/>
          <w:vertAlign w:val="baseline"/>
        </w:rPr>
        <w:t xml:space="preserve"> collecting such fees and who reside in states where applicable law does not </w:t>
      </w:r>
      <w:r>
        <w:rPr>
          <w:rFonts w:ascii="times" w:eastAsia="times" w:hAnsi="times" w:cs="times"/>
          <w:b w:val="0"/>
          <w:i/>
          <w:strike w:val="0"/>
          <w:noProof w:val="0"/>
          <w:color w:val="000000"/>
          <w:position w:val="0"/>
          <w:sz w:val="20"/>
          <w:u w:val="none"/>
          <w:vertAlign w:val="baseline"/>
        </w:rPr>
        <w:t>expressly permit</w:t>
      </w:r>
      <w:r>
        <w:rPr>
          <w:rFonts w:ascii="times" w:eastAsia="times" w:hAnsi="times" w:cs="times"/>
          <w:b w:val="0"/>
          <w:i w:val="0"/>
          <w:strike w:val="0"/>
          <w:noProof w:val="0"/>
          <w:color w:val="000000"/>
          <w:position w:val="0"/>
          <w:sz w:val="20"/>
          <w:u w:val="none"/>
          <w:vertAlign w:val="baseline"/>
        </w:rPr>
        <w:t xml:space="preserve"> collecting such fees." (emphasis added)). While none of this authority is controlling, it buttresses our conclusion as to the statutory meaning.</w:t>
      </w:r>
    </w:p>
    <w:p>
      <w:pPr>
        <w:keepNext w:val="0"/>
        <w:widowControl w:val="0"/>
        <w:spacing w:before="200" w:after="0" w:line="260" w:lineRule="atLeast"/>
        <w:ind w:left="0" w:right="0" w:firstLine="0"/>
        <w:jc w:val="both"/>
      </w:pPr>
      <w:bookmarkStart w:id="100" w:name="Bookmark_para_33"/>
      <w:bookmarkEnd w:id="100"/>
      <w:r>
        <w:rPr>
          <w:rFonts w:ascii="times" w:eastAsia="times" w:hAnsi="times" w:cs="times"/>
          <w:b w:val="0"/>
          <w:i w:val="0"/>
          <w:strike w:val="0"/>
          <w:noProof w:val="0"/>
          <w:color w:val="000000"/>
          <w:position w:val="0"/>
          <w:sz w:val="20"/>
          <w:u w:val="none"/>
          <w:vertAlign w:val="baseline"/>
        </w:rPr>
        <w:t>So too does the linguistic context. Start with the statute's focus, in the first prong, on the original agreement. This protects consumers from later add-ons in the way of various fees, preventing them from being blindsided down the road. When choosing a mortgage lender, for example, consumers have different options. While bargaining power is certainly not equal between lender and borrower at the outset, there is at least some element of notice as to the terms of the original agreement. Yet consumers have no say in choosing their debt collectors, and they may well be over a barrel at that later point in time. To allow debt collectors to subsequently modify the terms of the original agreement as they see fit, based solely on the mere absence of legal prohibition, would thus frustrate the FDCPA's goals.</w:t>
      </w:r>
    </w:p>
    <w:p>
      <w:pPr>
        <w:keepNext w:val="0"/>
        <w:widowControl w:val="0"/>
        <w:spacing w:before="240" w:after="0" w:line="260" w:lineRule="atLeast"/>
        <w:ind w:left="0" w:right="0" w:firstLine="0"/>
        <w:jc w:val="both"/>
      </w:pPr>
      <w:bookmarkStart w:id="101" w:name="Bookmark_para_34"/>
      <w:bookmarkEnd w:id="101"/>
      <w:r>
        <w:rPr>
          <w:rFonts w:ascii="times" w:eastAsia="times" w:hAnsi="times" w:cs="times"/>
          <w:b w:val="0"/>
          <w:i w:val="0"/>
          <w:strike w:val="0"/>
          <w:noProof w:val="0"/>
          <w:color w:val="000000"/>
          <w:position w:val="0"/>
          <w:sz w:val="20"/>
          <w:u w:val="none"/>
          <w:vertAlign w:val="baseline"/>
        </w:rPr>
        <w:t xml:space="preserve">Next look at how the provision works as a whole. </w:t>
      </w:r>
      <w:bookmarkStart w:id="102" w:name="Bookmark_LNHNREFclscc16"/>
      <w:bookmarkEnd w:id="102"/>
      <w:r>
        <w:rPr>
          <w:rFonts w:ascii="times" w:eastAsia="times" w:hAnsi="times" w:cs="times"/>
          <w:b w:val="0"/>
          <w:i w:val="0"/>
          <w:strike w:val="0"/>
          <w:noProof w:val="0"/>
          <w:color w:val="000000"/>
          <w:position w:val="0"/>
          <w:sz w:val="20"/>
          <w:u w:val="none"/>
          <w:vertAlign w:val="baseline"/>
        </w:rPr>
        <w:t>Collecting "any amount" is prohibited "unless such amount is expressly authorized by the agreement creating</w:t>
      </w:r>
      <w:r>
        <w:rPr>
          <w:rFonts w:ascii="times" w:eastAsia="times" w:hAnsi="times" w:cs="times"/>
          <w:b/>
          <w:i w:val="0"/>
          <w:strike w:val="0"/>
          <w:noProof w:val="0"/>
          <w:color w:val="000000"/>
          <w:position w:val="0"/>
          <w:sz w:val="20"/>
          <w:u w:val="none"/>
          <w:vertAlign w:val="baseline"/>
        </w:rPr>
        <w:t> [*17] </w:t>
      </w:r>
      <w:r>
        <w:rPr>
          <w:rFonts w:ascii="times" w:eastAsia="times" w:hAnsi="times" w:cs="times"/>
          <w:b w:val="0"/>
          <w:i w:val="0"/>
          <w:strike w:val="0"/>
          <w:noProof w:val="0"/>
          <w:color w:val="000000"/>
          <w:position w:val="0"/>
          <w:sz w:val="20"/>
          <w:u w:val="none"/>
          <w:vertAlign w:val="baseline"/>
        </w:rPr>
        <w:t xml:space="preserve"> the debt or permitted by law." </w:t>
      </w:r>
      <w:hyperlink r:id="rId16" w:history="1">
        <w:r>
          <w:rPr>
            <w:rFonts w:ascii="times" w:eastAsia="times" w:hAnsi="times" w:cs="times"/>
            <w:b w:val="0"/>
            <w:i w:val="0"/>
            <w:strike w:val="0"/>
            <w:noProof w:val="0"/>
            <w:color w:val="0077CC"/>
            <w:position w:val="0"/>
            <w:sz w:val="20"/>
            <w:u w:val="single"/>
            <w:shd w:val="clear" w:color="auto" w:fill="FFFFFF"/>
            <w:vertAlign w:val="baseline"/>
          </w:rPr>
          <w:t>15 U.S.C. § 1692f(1)</w:t>
        </w:r>
      </w:hyperlink>
      <w:r>
        <w:rPr>
          <w:rFonts w:ascii="times" w:eastAsia="times" w:hAnsi="times" w:cs="times"/>
          <w:b w:val="0"/>
          <w:i w:val="0"/>
          <w:strike w:val="0"/>
          <w:noProof w:val="0"/>
          <w:color w:val="000000"/>
          <w:position w:val="0"/>
          <w:sz w:val="20"/>
          <w:u w:val="none"/>
          <w:vertAlign w:val="baseline"/>
        </w:rPr>
        <w:t>. The incorporated FDCPA provision sets a "no collection" default, subject to two narrow exceptions. And these two exceptions mirror one another. Each lays out a particular source of authority (either the agreement creating the debt or law), and each requires that the source of authority affirmatively speaks to the amount's collection (either through express authorization or through permission). Our interpretation preserves this parallelism.</w:t>
      </w:r>
    </w:p>
    <w:p>
      <w:pPr>
        <w:keepNext w:val="0"/>
        <w:widowControl w:val="0"/>
        <w:spacing w:before="200" w:after="0" w:line="260" w:lineRule="atLeast"/>
        <w:ind w:left="0" w:right="0" w:firstLine="0"/>
        <w:jc w:val="both"/>
      </w:pPr>
      <w:bookmarkStart w:id="103" w:name="Bookmark_para_35"/>
      <w:bookmarkEnd w:id="103"/>
      <w:r>
        <w:rPr>
          <w:rFonts w:ascii="times" w:eastAsia="times" w:hAnsi="times" w:cs="times"/>
          <w:b w:val="0"/>
          <w:i w:val="0"/>
          <w:strike w:val="0"/>
          <w:noProof w:val="0"/>
          <w:color w:val="000000"/>
          <w:position w:val="0"/>
          <w:sz w:val="20"/>
          <w:u w:val="none"/>
          <w:vertAlign w:val="baseline"/>
        </w:rPr>
        <w:t xml:space="preserve">Carrington's contrary reading gives the phrase "permitted by law" a very loose meaning. So long as the law does not expressly prohibit it from doing so, Carrington claims, it can charge whatever fees it wishes. </w:t>
      </w:r>
      <w:bookmarkStart w:id="104" w:name="Bookmark_I64KM5M52SF8FJ0010000400"/>
      <w:bookmarkEnd w:id="104"/>
      <w:r>
        <w:rPr>
          <w:rFonts w:ascii="times" w:eastAsia="times" w:hAnsi="times" w:cs="times"/>
          <w:b w:val="0"/>
          <w:i w:val="0"/>
          <w:strike w:val="0"/>
          <w:noProof w:val="0"/>
          <w:color w:val="000000"/>
          <w:position w:val="0"/>
          <w:sz w:val="20"/>
          <w:u w:val="none"/>
          <w:vertAlign w:val="baseline"/>
        </w:rPr>
        <w:t xml:space="preserve">Yet this reading both shifts the default and also places the statute's two exceptions at war with one another. We reject an interpretation that carries such worrisome consequences. </w:t>
      </w:r>
      <w:bookmarkStart w:id="105" w:name="Bookmark_LNHNREFclscc17"/>
      <w:bookmarkEnd w:id="105"/>
      <w:r>
        <w:rPr>
          <w:rFonts w:ascii="times" w:eastAsia="times" w:hAnsi="times" w:cs="times"/>
          <w:b w:val="0"/>
          <w:i w:val="0"/>
          <w:strike w:val="0"/>
          <w:noProof w:val="0"/>
          <w:color w:val="000000"/>
          <w:position w:val="0"/>
          <w:sz w:val="20"/>
          <w:u w:val="none"/>
          <w:vertAlign w:val="baseline"/>
        </w:rPr>
        <w:t xml:space="preserve">After all, we must interpret a statute "as a symmetrical and coherent regulatory scheme and fit, if possible, all parts into an harmonious whole." </w:t>
      </w:r>
      <w:bookmarkStart w:id="106" w:name="Bookmark_I64KM5M52HM6N00050000400"/>
      <w:bookmarkEnd w:id="106"/>
      <w:hyperlink r:id="rId40" w:history="1">
        <w:r>
          <w:rPr>
            <w:rFonts w:ascii="times" w:eastAsia="times" w:hAnsi="times" w:cs="times"/>
            <w:b w:val="0"/>
            <w:i/>
            <w:strike w:val="0"/>
            <w:noProof w:val="0"/>
            <w:color w:val="0077CC"/>
            <w:position w:val="0"/>
            <w:sz w:val="20"/>
            <w:u w:val="single"/>
            <w:shd w:val="clear" w:color="auto" w:fill="FFFFFF"/>
            <w:vertAlign w:val="baseline"/>
          </w:rPr>
          <w:t>FDA v. Brown &amp; Williamson Tobacco Corp.</w:t>
        </w:r>
      </w:hyperlink>
      <w:hyperlink r:id="rId40" w:history="1">
        <w:r>
          <w:rPr>
            <w:rFonts w:ascii="times" w:eastAsia="times" w:hAnsi="times" w:cs="times"/>
            <w:b w:val="0"/>
            <w:i w:val="0"/>
            <w:strike w:val="0"/>
            <w:noProof w:val="0"/>
            <w:color w:val="0077CC"/>
            <w:position w:val="0"/>
            <w:sz w:val="20"/>
            <w:u w:val="single"/>
            <w:shd w:val="clear" w:color="auto" w:fill="FFFFFF"/>
            <w:vertAlign w:val="baseline"/>
          </w:rPr>
          <w:t>, 529 U.S. 120, 133, 120 S. Ct. 1291, 146 L. Ed. 2d 121 (2000)</w:t>
        </w:r>
      </w:hyperlink>
      <w:r>
        <w:rPr>
          <w:rFonts w:ascii="times" w:eastAsia="times" w:hAnsi="times" w:cs="times"/>
          <w:b w:val="0"/>
          <w:i w:val="0"/>
          <w:strike w:val="0"/>
          <w:noProof w:val="0"/>
          <w:color w:val="000000"/>
          <w:position w:val="0"/>
          <w:sz w:val="20"/>
          <w:u w:val="none"/>
          <w:vertAlign w:val="baseline"/>
        </w:rPr>
        <w:t xml:space="preserve"> (internal quotation marks and citations omitted); </w:t>
      </w:r>
      <w:r>
        <w:rPr>
          <w:rFonts w:ascii="times" w:eastAsia="times" w:hAnsi="times" w:cs="times"/>
          <w:b w:val="0"/>
          <w:i/>
          <w:strike w:val="0"/>
          <w:noProof w:val="0"/>
          <w:color w:val="000000"/>
          <w:position w:val="0"/>
          <w:sz w:val="20"/>
          <w:u w:val="none"/>
          <w:vertAlign w:val="baseline"/>
        </w:rPr>
        <w:t>see also</w:t>
      </w:r>
      <w:r>
        <w:rPr>
          <w:rFonts w:ascii="times" w:eastAsia="times" w:hAnsi="times" w:cs="times"/>
          <w:b w:val="0"/>
          <w:i w:val="0"/>
          <w:strike w:val="0"/>
          <w:noProof w:val="0"/>
          <w:color w:val="000000"/>
          <w:position w:val="0"/>
          <w:sz w:val="20"/>
          <w:u w:val="none"/>
          <w:vertAlign w:val="baseline"/>
        </w:rPr>
        <w:t xml:space="preserve"> Antonin Scalia &amp; Bryan A. Garner, </w:t>
      </w:r>
      <w:r>
        <w:rPr>
          <w:rFonts w:ascii="times" w:eastAsia="times" w:hAnsi="times" w:cs="times"/>
          <w:b w:val="0"/>
          <w:i/>
          <w:strike w:val="0"/>
          <w:noProof w:val="0"/>
          <w:color w:val="000000"/>
          <w:position w:val="0"/>
          <w:sz w:val="20"/>
          <w:u w:val="none"/>
          <w:vertAlign w:val="baseline"/>
        </w:rPr>
        <w:t>Reading Law: The Interpretation of Legal Texts</w:t>
      </w:r>
      <w:r>
        <w:rPr>
          <w:rFonts w:ascii="times" w:eastAsia="times" w:hAnsi="times" w:cs="times"/>
          <w:b w:val="0"/>
          <w:i w:val="0"/>
          <w:strike w:val="0"/>
          <w:noProof w:val="0"/>
          <w:color w:val="000000"/>
          <w:position w:val="0"/>
          <w:sz w:val="20"/>
          <w:u w:val="none"/>
          <w:vertAlign w:val="baseline"/>
        </w:rPr>
        <w:t xml:space="preserve"> 180-82 (2012) (The "harmonious-reading canon"</w:t>
      </w:r>
      <w:r>
        <w:rPr>
          <w:rFonts w:ascii="times" w:eastAsia="times" w:hAnsi="times" w:cs="times"/>
          <w:b/>
          <w:i w:val="0"/>
          <w:strike w:val="0"/>
          <w:noProof w:val="0"/>
          <w:color w:val="000000"/>
          <w:position w:val="0"/>
          <w:sz w:val="20"/>
          <w:u w:val="none"/>
          <w:vertAlign w:val="baseline"/>
        </w:rPr>
        <w:t> [*18] </w:t>
      </w:r>
      <w:r>
        <w:rPr>
          <w:rFonts w:ascii="times" w:eastAsia="times" w:hAnsi="times" w:cs="times"/>
          <w:b w:val="0"/>
          <w:i w:val="0"/>
          <w:strike w:val="0"/>
          <w:noProof w:val="0"/>
          <w:color w:val="000000"/>
          <w:position w:val="0"/>
          <w:sz w:val="20"/>
          <w:u w:val="none"/>
          <w:vertAlign w:val="baseline"/>
        </w:rPr>
        <w:t xml:space="preserve"> counsels that "[t]he provisions of a text should be interpreted in a way that renders them compatible, not contradictory."). Carrington's reading suggests that a narrow exception sits right next to a broad license and thereby fails on this score. While it rightly acknowledges that express authorization in the original agreement is a carefully guarded and narrow gate to pass through, it wrongly suggests that permission by law is an unattended and broad entrance to the same venue. If a fan can get into the North London Derby either by presenting an expensive ticket at Gate A or by waltzing freely through Gate B, no one in their right mind would choose the first option. Why pay to watch Arsenal beat Tottenham when you can enjoy the spectacle for free?</w:t>
      </w:r>
    </w:p>
    <w:p>
      <w:pPr>
        <w:keepNext w:val="0"/>
        <w:widowControl w:val="0"/>
        <w:spacing w:before="240" w:after="0" w:line="260" w:lineRule="atLeast"/>
        <w:ind w:left="0" w:right="0" w:firstLine="0"/>
        <w:jc w:val="both"/>
      </w:pPr>
      <w:bookmarkStart w:id="107" w:name="Bookmark_para_36"/>
      <w:bookmarkEnd w:id="107"/>
      <w:bookmarkStart w:id="108" w:name="Bookmark_I64KM5M52SF8FJ0030000400"/>
      <w:bookmarkEnd w:id="108"/>
      <w:r>
        <w:rPr>
          <w:rFonts w:ascii="times" w:eastAsia="times" w:hAnsi="times" w:cs="times"/>
          <w:b w:val="0"/>
          <w:i w:val="0"/>
          <w:strike w:val="0"/>
          <w:noProof w:val="0"/>
          <w:color w:val="000000"/>
          <w:position w:val="0"/>
          <w:sz w:val="20"/>
          <w:u w:val="none"/>
          <w:vertAlign w:val="baseline"/>
        </w:rPr>
        <w:t xml:space="preserve">In this particular case, Carrington's argument hits another snag. Carrington places great emphasis on plaintiffs' manifestation of assent in the online clickwrap agreements, arguing that common principles of contract render its convenience fees "permitted by law." </w:t>
      </w:r>
      <w:bookmarkStart w:id="109" w:name="Bookmark_LNHNREFclscc18"/>
      <w:bookmarkEnd w:id="109"/>
      <w:r>
        <w:rPr>
          <w:rFonts w:ascii="times" w:eastAsia="times" w:hAnsi="times" w:cs="times"/>
          <w:b w:val="0"/>
          <w:i w:val="0"/>
          <w:strike w:val="0"/>
          <w:noProof w:val="0"/>
          <w:color w:val="000000"/>
          <w:position w:val="0"/>
          <w:sz w:val="20"/>
          <w:u w:val="none"/>
          <w:vertAlign w:val="baseline"/>
        </w:rPr>
        <w:t>But if general contract principles are enough to permit the charging of such fees, then the statute's prong permitting amounts "expressly authorized by the agreement creating the</w:t>
      </w:r>
      <w:r>
        <w:rPr>
          <w:rFonts w:ascii="times" w:eastAsia="times" w:hAnsi="times" w:cs="times"/>
          <w:b/>
          <w:i w:val="0"/>
          <w:strike w:val="0"/>
          <w:noProof w:val="0"/>
          <w:color w:val="000000"/>
          <w:position w:val="0"/>
          <w:sz w:val="20"/>
          <w:u w:val="none"/>
          <w:vertAlign w:val="baseline"/>
        </w:rPr>
        <w:t> [*19] </w:t>
      </w:r>
      <w:r>
        <w:rPr>
          <w:rFonts w:ascii="times" w:eastAsia="times" w:hAnsi="times" w:cs="times"/>
          <w:b w:val="0"/>
          <w:i w:val="0"/>
          <w:strike w:val="0"/>
          <w:noProof w:val="0"/>
          <w:color w:val="000000"/>
          <w:position w:val="0"/>
          <w:sz w:val="20"/>
          <w:u w:val="none"/>
          <w:vertAlign w:val="baseline"/>
        </w:rPr>
        <w:t xml:space="preserve"> debt" becomes superfluous. There would be no need to say this if Carrington is right, for an "agreement creating the debt" is by definition a valid contract. </w:t>
      </w:r>
      <w:bookmarkStart w:id="110" w:name="Bookmark_LNHNREFclscc19"/>
      <w:bookmarkEnd w:id="110"/>
      <w:r>
        <w:rPr>
          <w:rFonts w:ascii="times" w:eastAsia="times" w:hAnsi="times" w:cs="times"/>
          <w:b w:val="0"/>
          <w:i w:val="0"/>
          <w:strike w:val="0"/>
          <w:noProof w:val="0"/>
          <w:color w:val="000000"/>
          <w:position w:val="0"/>
          <w:sz w:val="20"/>
          <w:u w:val="none"/>
          <w:vertAlign w:val="baseline"/>
        </w:rPr>
        <w:t xml:space="preserve">Because we "disfavor interpretations of statutes that render language superfluous," </w:t>
      </w:r>
      <w:bookmarkStart w:id="111" w:name="Bookmark_I64KM5M52SF8FJ0020000400"/>
      <w:bookmarkEnd w:id="111"/>
      <w:hyperlink r:id="rId41" w:history="1">
        <w:r>
          <w:rPr>
            <w:rFonts w:ascii="times" w:eastAsia="times" w:hAnsi="times" w:cs="times"/>
            <w:b w:val="0"/>
            <w:i/>
            <w:strike w:val="0"/>
            <w:noProof w:val="0"/>
            <w:color w:val="0077CC"/>
            <w:position w:val="0"/>
            <w:sz w:val="20"/>
            <w:u w:val="single"/>
            <w:shd w:val="clear" w:color="auto" w:fill="FFFFFF"/>
            <w:vertAlign w:val="baseline"/>
          </w:rPr>
          <w:t>Conn. Nat. Bank v. Germain</w:t>
        </w:r>
      </w:hyperlink>
      <w:hyperlink r:id="rId41" w:history="1">
        <w:r>
          <w:rPr>
            <w:rFonts w:ascii="times" w:eastAsia="times" w:hAnsi="times" w:cs="times"/>
            <w:b w:val="0"/>
            <w:i w:val="0"/>
            <w:strike w:val="0"/>
            <w:noProof w:val="0"/>
            <w:color w:val="0077CC"/>
            <w:position w:val="0"/>
            <w:sz w:val="20"/>
            <w:u w:val="single"/>
            <w:shd w:val="clear" w:color="auto" w:fill="FFFFFF"/>
            <w:vertAlign w:val="baseline"/>
          </w:rPr>
          <w:t>, 503 U.S. 249, 253, 112 S. Ct. 1146, 117 L. Ed. 2d 391 (1992)</w:t>
        </w:r>
      </w:hyperlink>
      <w:r>
        <w:rPr>
          <w:rFonts w:ascii="times" w:eastAsia="times" w:hAnsi="times" w:cs="times"/>
          <w:b w:val="0"/>
          <w:i w:val="0"/>
          <w:strike w:val="0"/>
          <w:noProof w:val="0"/>
          <w:color w:val="000000"/>
          <w:position w:val="0"/>
          <w:sz w:val="20"/>
          <w:u w:val="none"/>
          <w:vertAlign w:val="baseline"/>
        </w:rPr>
        <w:t>, Carrington's argument runs into yet another barrier.</w:t>
      </w:r>
    </w:p>
    <w:p>
      <w:pPr>
        <w:keepNext w:val="0"/>
        <w:widowControl w:val="0"/>
        <w:spacing w:before="200" w:after="0" w:line="260" w:lineRule="atLeast"/>
        <w:ind w:left="0" w:right="0" w:firstLine="0"/>
        <w:jc w:val="both"/>
      </w:pPr>
      <w:bookmarkStart w:id="112" w:name="Bookmark_para_37"/>
      <w:bookmarkEnd w:id="112"/>
      <w:r>
        <w:rPr>
          <w:rFonts w:ascii="times" w:eastAsia="times" w:hAnsi="times" w:cs="times"/>
          <w:b w:val="0"/>
          <w:i w:val="0"/>
          <w:strike w:val="0"/>
          <w:noProof w:val="0"/>
          <w:color w:val="000000"/>
          <w:position w:val="0"/>
          <w:sz w:val="20"/>
          <w:u w:val="none"/>
          <w:vertAlign w:val="baseline"/>
        </w:rPr>
        <w:t xml:space="preserve">As one last throw of the dice, Carrington complains that we are punishing it for offering additional choices to consumers. It tries to make hay out of the fact that those consumers who pay online or over the phone receive the satisfaction of immediate payment and posting, and it contends that these options need not be provided for free. But here's the inconvenient truth: Carrington's alternative payment options are likely more cost-effective and less time-consuming for Carrington. While paying by check is free for consumers, it generally costs debt collectors between $1 and $4 to process those checks. Association for Financial Professionals, </w:t>
      </w:r>
      <w:r>
        <w:rPr>
          <w:rFonts w:ascii="times" w:eastAsia="times" w:hAnsi="times" w:cs="times"/>
          <w:b w:val="0"/>
          <w:i/>
          <w:strike w:val="0"/>
          <w:noProof w:val="0"/>
          <w:color w:val="000000"/>
          <w:position w:val="0"/>
          <w:sz w:val="20"/>
          <w:u w:val="none"/>
          <w:vertAlign w:val="baseline"/>
        </w:rPr>
        <w:t>Payments Cost Benchmarking Survey</w:t>
      </w:r>
      <w:r>
        <w:rPr>
          <w:rFonts w:ascii="times" w:eastAsia="times" w:hAnsi="times" w:cs="times"/>
          <w:b w:val="0"/>
          <w:i w:val="0"/>
          <w:strike w:val="0"/>
          <w:noProof w:val="0"/>
          <w:color w:val="000000"/>
          <w:position w:val="0"/>
          <w:sz w:val="20"/>
          <w:u w:val="none"/>
          <w:vertAlign w:val="baseline"/>
        </w:rPr>
        <w:t xml:space="preserve">, at 7 (2015). By contrast, processing payments made online or by phone typically costs debt collectors substantially less, about $0.50 per transaction. </w:t>
      </w:r>
      <w:r>
        <w:rPr>
          <w:rFonts w:ascii="times" w:eastAsia="times" w:hAnsi="times" w:cs="times"/>
          <w:b w:val="0"/>
          <w:i/>
          <w:strike w:val="0"/>
          <w:noProof w:val="0"/>
          <w:color w:val="000000"/>
          <w:position w:val="0"/>
          <w:sz w:val="20"/>
          <w:u w:val="none"/>
          <w:vertAlign w:val="baseline"/>
        </w:rPr>
        <w:t>See id.</w:t>
      </w:r>
      <w:r>
        <w:rPr>
          <w:rFonts w:ascii="times" w:eastAsia="times" w:hAnsi="times" w:cs="times"/>
          <w:b w:val="0"/>
          <w:i w:val="0"/>
          <w:strike w:val="0"/>
          <w:noProof w:val="0"/>
          <w:color w:val="000000"/>
          <w:position w:val="0"/>
          <w:sz w:val="20"/>
          <w:u w:val="none"/>
          <w:vertAlign w:val="baseline"/>
        </w:rPr>
        <w:t xml:space="preserve"> at 8 (finding median cost to be between $0.37 and $0.75); </w:t>
      </w:r>
      <w:r>
        <w:rPr>
          <w:rFonts w:ascii="times" w:eastAsia="times" w:hAnsi="times" w:cs="times"/>
          <w:b w:val="0"/>
          <w:i/>
          <w:strike w:val="0"/>
          <w:noProof w:val="0"/>
          <w:color w:val="000000"/>
          <w:position w:val="0"/>
          <w:sz w:val="20"/>
          <w:u w:val="none"/>
          <w:vertAlign w:val="baseline"/>
        </w:rPr>
        <w:t>see</w:t>
      </w:r>
      <w:r>
        <w:rPr>
          <w:rFonts w:ascii="times" w:eastAsia="times" w:hAnsi="times" w:cs="times"/>
          <w:b/>
          <w:i/>
          <w:strike w:val="0"/>
          <w:noProof w:val="0"/>
          <w:color w:val="000000"/>
          <w:position w:val="0"/>
          <w:sz w:val="20"/>
          <w:u w:val="none"/>
          <w:vertAlign w:val="baseline"/>
        </w:rPr>
        <w:t> [*20] </w:t>
      </w:r>
      <w:r>
        <w:rPr>
          <w:rFonts w:ascii="times" w:eastAsia="times" w:hAnsi="times" w:cs="times"/>
          <w:b w:val="0"/>
          <w:i/>
          <w:strike w:val="0"/>
          <w:noProof w:val="0"/>
          <w:color w:val="000000"/>
          <w:position w:val="0"/>
          <w:sz w:val="20"/>
          <w:u w:val="none"/>
          <w:vertAlign w:val="baseline"/>
        </w:rPr>
        <w:t xml:space="preserve"> also</w:t>
      </w:r>
      <w:r>
        <w:rPr>
          <w:rFonts w:ascii="times" w:eastAsia="times" w:hAnsi="times" w:cs="times"/>
          <w:b w:val="0"/>
          <w:i w:val="0"/>
          <w:strike w:val="0"/>
          <w:noProof w:val="0"/>
          <w:color w:val="000000"/>
          <w:position w:val="0"/>
          <w:sz w:val="20"/>
          <w:u w:val="none"/>
          <w:vertAlign w:val="baseline"/>
        </w:rPr>
        <w:t xml:space="preserve"> J.A. 7-8 (alleging that Carrington's fees range "from 10 to 50 times . . . its actual costs"). And because it is in Carrington's interest to get consumers to pay, it is also in Carrington's interest to offer convenient methods for doing so. Nothing we have said prevents Carrington from extending this payment option to consumers. If it does so, however, it must do so without the imposition of a statutorily prohibited convenience fee.</w:t>
      </w:r>
    </w:p>
    <w:p>
      <w:pPr>
        <w:keepNext w:val="0"/>
        <w:widowControl w:val="0"/>
        <w:spacing w:before="240" w:after="0" w:line="260" w:lineRule="atLeast"/>
        <w:ind w:left="0" w:right="0" w:firstLine="0"/>
        <w:jc w:val="both"/>
      </w:pPr>
      <w:bookmarkStart w:id="113" w:name="Bookmark_para_38"/>
      <w:bookmarkEnd w:id="113"/>
      <w:r>
        <w:rPr>
          <w:rFonts w:ascii="times" w:eastAsia="times" w:hAnsi="times" w:cs="times"/>
          <w:b w:val="0"/>
          <w:i w:val="0"/>
          <w:strike w:val="0"/>
          <w:noProof w:val="0"/>
          <w:color w:val="000000"/>
          <w:position w:val="0"/>
          <w:sz w:val="20"/>
          <w:u w:val="none"/>
          <w:vertAlign w:val="baseline"/>
        </w:rPr>
        <w:t xml:space="preserve">Because Carrington is a collector who charged an amount that was not expressly authorized by the agreement creating the debt or permitted by law, it violated the MCDCA. We thus reverse the district court's dismissal of plaintiffs'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14-202(11)</w:t>
        </w:r>
      </w:hyperlink>
      <w:r>
        <w:rPr>
          <w:rFonts w:ascii="times" w:eastAsia="times" w:hAnsi="times" w:cs="times"/>
          <w:b w:val="0"/>
          <w:i w:val="0"/>
          <w:strike w:val="0"/>
          <w:noProof w:val="0"/>
          <w:color w:val="000000"/>
          <w:position w:val="0"/>
          <w:sz w:val="20"/>
          <w:u w:val="none"/>
          <w:vertAlign w:val="baseline"/>
        </w:rPr>
        <w:t xml:space="preserve"> claim.</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III.</w:t>
      </w:r>
    </w:p>
    <w:p>
      <w:pPr>
        <w:keepNext w:val="0"/>
        <w:widowControl w:val="0"/>
        <w:spacing w:before="200" w:after="0" w:line="260" w:lineRule="atLeast"/>
        <w:ind w:left="0" w:right="0" w:firstLine="0"/>
        <w:jc w:val="both"/>
      </w:pPr>
      <w:bookmarkStart w:id="114" w:name="Bookmark_para_39"/>
      <w:bookmarkEnd w:id="114"/>
      <w:r>
        <w:rPr>
          <w:rFonts w:ascii="times" w:eastAsia="times" w:hAnsi="times" w:cs="times"/>
          <w:b w:val="0"/>
          <w:i w:val="0"/>
          <w:strike w:val="0"/>
          <w:noProof w:val="0"/>
          <w:color w:val="000000"/>
          <w:position w:val="0"/>
          <w:sz w:val="20"/>
          <w:u w:val="none"/>
          <w:vertAlign w:val="baseline"/>
        </w:rPr>
        <w:t>A few words as to plaintiffs' remaining claims. First, because we hold that Carrington has violated the MCDCA by engaging in conduct violating the FDCPA, plaintiffs' derivative MCPA claim can also proceed, and the district court's dismissal of that claim must also be reversed.</w:t>
      </w:r>
    </w:p>
    <w:p>
      <w:pPr>
        <w:keepNext w:val="0"/>
        <w:widowControl w:val="0"/>
        <w:spacing w:before="240" w:after="0" w:line="260" w:lineRule="atLeast"/>
        <w:ind w:left="0" w:right="0" w:firstLine="0"/>
        <w:jc w:val="both"/>
      </w:pPr>
      <w:bookmarkStart w:id="115" w:name="Bookmark_para_40"/>
      <w:bookmarkEnd w:id="115"/>
      <w:r>
        <w:rPr>
          <w:rFonts w:ascii="times" w:eastAsia="times" w:hAnsi="times" w:cs="times"/>
          <w:b w:val="0"/>
          <w:i w:val="0"/>
          <w:strike w:val="0"/>
          <w:noProof w:val="0"/>
          <w:color w:val="000000"/>
          <w:position w:val="0"/>
          <w:sz w:val="20"/>
          <w:u w:val="none"/>
          <w:vertAlign w:val="baseline"/>
        </w:rPr>
        <w:t xml:space="preserve">Second, plaintiffs argue that because the fees are prohibited under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14-202(11)</w:t>
        </w:r>
      </w:hyperlink>
      <w:r>
        <w:rPr>
          <w:rFonts w:ascii="times" w:eastAsia="times" w:hAnsi="times" w:cs="times"/>
          <w:b w:val="0"/>
          <w:i w:val="0"/>
          <w:strike w:val="0"/>
          <w:noProof w:val="0"/>
          <w:color w:val="000000"/>
          <w:position w:val="0"/>
          <w:sz w:val="20"/>
          <w:u w:val="none"/>
          <w:vertAlign w:val="baseline"/>
        </w:rPr>
        <w:t xml:space="preserve">, Carrington asserts rights that "do[] not exist" under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14-202(8)</w:t>
        </w:r>
      </w:hyperlink>
      <w:r>
        <w:rPr>
          <w:rFonts w:ascii="times" w:eastAsia="times" w:hAnsi="times" w:cs="times"/>
          <w:b w:val="0"/>
          <w:i w:val="0"/>
          <w:strike w:val="0"/>
          <w:noProof w:val="0"/>
          <w:color w:val="000000"/>
          <w:position w:val="0"/>
          <w:sz w:val="20"/>
          <w:u w:val="none"/>
          <w:vertAlign w:val="baseline"/>
        </w:rPr>
        <w:t>. As explained above, Carrington is an MCDCA "collector" whose convenience fees are not "permitted by law." So the district</w:t>
      </w:r>
      <w:r>
        <w:rPr>
          <w:rFonts w:ascii="times" w:eastAsia="times" w:hAnsi="times" w:cs="times"/>
          <w:b/>
          <w:i w:val="0"/>
          <w:strike w:val="0"/>
          <w:noProof w:val="0"/>
          <w:color w:val="000000"/>
          <w:position w:val="0"/>
          <w:sz w:val="20"/>
          <w:u w:val="none"/>
          <w:vertAlign w:val="baseline"/>
        </w:rPr>
        <w:t> [*21] </w:t>
      </w:r>
      <w:r>
        <w:rPr>
          <w:rFonts w:ascii="times" w:eastAsia="times" w:hAnsi="times" w:cs="times"/>
          <w:b w:val="0"/>
          <w:i w:val="0"/>
          <w:strike w:val="0"/>
          <w:noProof w:val="0"/>
          <w:color w:val="000000"/>
          <w:position w:val="0"/>
          <w:sz w:val="20"/>
          <w:u w:val="none"/>
          <w:vertAlign w:val="baseline"/>
        </w:rPr>
        <w:t xml:space="preserve"> court's dismissal, predicated as it was on its view of the MCDCA's definition of "collector" and plaintiffs' voluntary assent, was in error. We vacate this dismissal and remand plaintiffs' </w:t>
      </w:r>
      <w:hyperlink r:id="rId15" w:history="1">
        <w:r>
          <w:rPr>
            <w:rFonts w:ascii="times" w:eastAsia="times" w:hAnsi="times" w:cs="times"/>
            <w:b w:val="0"/>
            <w:i w:val="0"/>
            <w:strike w:val="0"/>
            <w:noProof w:val="0"/>
            <w:color w:val="0077CC"/>
            <w:position w:val="0"/>
            <w:sz w:val="20"/>
            <w:u w:val="single"/>
            <w:shd w:val="clear" w:color="auto" w:fill="FFFFFF"/>
            <w:vertAlign w:val="baseline"/>
          </w:rPr>
          <w:t>§ 14-202(8)</w:t>
        </w:r>
      </w:hyperlink>
      <w:r>
        <w:rPr>
          <w:rFonts w:ascii="times" w:eastAsia="times" w:hAnsi="times" w:cs="times"/>
          <w:b w:val="0"/>
          <w:i w:val="0"/>
          <w:strike w:val="0"/>
          <w:noProof w:val="0"/>
          <w:color w:val="000000"/>
          <w:position w:val="0"/>
          <w:sz w:val="20"/>
          <w:u w:val="none"/>
          <w:vertAlign w:val="baseline"/>
        </w:rPr>
        <w:t xml:space="preserve"> claim to allow the district court's further consideration of that claim consistent with this opinion.</w:t>
      </w:r>
    </w:p>
    <w:p>
      <w:pPr>
        <w:keepNext w:val="0"/>
        <w:widowControl w:val="0"/>
        <w:spacing w:before="240" w:after="0" w:line="260" w:lineRule="atLeast"/>
        <w:ind w:left="0" w:right="0" w:firstLine="0"/>
        <w:jc w:val="both"/>
      </w:pPr>
      <w:bookmarkStart w:id="116" w:name="Bookmark_para_41"/>
      <w:bookmarkEnd w:id="116"/>
      <w:bookmarkStart w:id="117" w:name="Bookmark_I64KM5M52SF8FJ0050000400"/>
      <w:bookmarkEnd w:id="117"/>
      <w:bookmarkStart w:id="118" w:name="Bookmark_I64KM5M72SF8FS0040000400"/>
      <w:bookmarkEnd w:id="118"/>
      <w:r>
        <w:rPr>
          <w:rFonts w:ascii="times" w:eastAsia="times" w:hAnsi="times" w:cs="times"/>
          <w:b w:val="0"/>
          <w:i w:val="0"/>
          <w:strike w:val="0"/>
          <w:noProof w:val="0"/>
          <w:color w:val="000000"/>
          <w:position w:val="0"/>
          <w:sz w:val="20"/>
          <w:u w:val="none"/>
          <w:vertAlign w:val="baseline"/>
        </w:rPr>
        <w:t xml:space="preserve">Third and finally, plaintiffs' standalone MCPA claim alleging "unfair, abusive, or deceptive trade practices" cannot proceed. </w:t>
      </w:r>
      <w:bookmarkStart w:id="119" w:name="Bookmark_LNHNREFclscc20"/>
      <w:bookmarkEnd w:id="119"/>
      <w:r>
        <w:rPr>
          <w:rFonts w:ascii="times" w:eastAsia="times" w:hAnsi="times" w:cs="times"/>
          <w:b w:val="0"/>
          <w:i w:val="0"/>
          <w:strike w:val="0"/>
          <w:noProof w:val="0"/>
          <w:color w:val="000000"/>
          <w:position w:val="0"/>
          <w:sz w:val="20"/>
          <w:u w:val="none"/>
          <w:vertAlign w:val="baseline"/>
        </w:rPr>
        <w:t xml:space="preserve">To plead a standalone claim under the MCPA, a consumer must allege "(1) an unfair or deceptive practice or misrepresentation that is (2) relied upon, and (3) causes them actual injury." </w:t>
      </w:r>
      <w:bookmarkStart w:id="120" w:name="Bookmark_I64KM5M52SF8FJ0040000400"/>
      <w:bookmarkEnd w:id="120"/>
      <w:hyperlink r:id="rId42" w:history="1">
        <w:r>
          <w:rPr>
            <w:rFonts w:ascii="times" w:eastAsia="times" w:hAnsi="times" w:cs="times"/>
            <w:b w:val="0"/>
            <w:i/>
            <w:strike w:val="0"/>
            <w:noProof w:val="0"/>
            <w:color w:val="0077CC"/>
            <w:position w:val="0"/>
            <w:sz w:val="20"/>
            <w:u w:val="single"/>
            <w:shd w:val="clear" w:color="auto" w:fill="FFFFFF"/>
            <w:vertAlign w:val="baseline"/>
          </w:rPr>
          <w:t>Stewart v. Bierman</w:t>
        </w:r>
      </w:hyperlink>
      <w:hyperlink r:id="rId42" w:history="1">
        <w:r>
          <w:rPr>
            <w:rFonts w:ascii="times" w:eastAsia="times" w:hAnsi="times" w:cs="times"/>
            <w:b w:val="0"/>
            <w:i w:val="0"/>
            <w:strike w:val="0"/>
            <w:noProof w:val="0"/>
            <w:color w:val="0077CC"/>
            <w:position w:val="0"/>
            <w:sz w:val="20"/>
            <w:u w:val="single"/>
            <w:shd w:val="clear" w:color="auto" w:fill="FFFFFF"/>
            <w:vertAlign w:val="baseline"/>
          </w:rPr>
          <w:t>, 859 F. Supp. 2d 754, 768 (D. Md. 2012)</w:t>
        </w:r>
      </w:hyperlink>
      <w:r>
        <w:rPr>
          <w:rFonts w:ascii="times" w:eastAsia="times" w:hAnsi="times" w:cs="times"/>
          <w:b w:val="0"/>
          <w:i w:val="0"/>
          <w:strike w:val="0"/>
          <w:noProof w:val="0"/>
          <w:color w:val="000000"/>
          <w:position w:val="0"/>
          <w:sz w:val="20"/>
          <w:u w:val="none"/>
          <w:vertAlign w:val="baseline"/>
        </w:rPr>
        <w:t xml:space="preserve"> (citing </w:t>
      </w:r>
      <w:bookmarkStart w:id="121" w:name="Bookmark_I64KM5M72SF8FS0010000400"/>
      <w:bookmarkEnd w:id="121"/>
      <w:hyperlink r:id="rId43" w:history="1">
        <w:r>
          <w:rPr>
            <w:rFonts w:ascii="times" w:eastAsia="times" w:hAnsi="times" w:cs="times"/>
            <w:b w:val="0"/>
            <w:i/>
            <w:strike w:val="0"/>
            <w:noProof w:val="0"/>
            <w:color w:val="0077CC"/>
            <w:position w:val="0"/>
            <w:sz w:val="20"/>
            <w:u w:val="single"/>
            <w:shd w:val="clear" w:color="auto" w:fill="FFFFFF"/>
            <w:vertAlign w:val="baseline"/>
          </w:rPr>
          <w:t>Lloyd v. General Motors Corp.</w:t>
        </w:r>
      </w:hyperlink>
      <w:hyperlink r:id="rId43" w:history="1">
        <w:r>
          <w:rPr>
            <w:rFonts w:ascii="times" w:eastAsia="times" w:hAnsi="times" w:cs="times"/>
            <w:b w:val="0"/>
            <w:i w:val="0"/>
            <w:strike w:val="0"/>
            <w:noProof w:val="0"/>
            <w:color w:val="0077CC"/>
            <w:position w:val="0"/>
            <w:sz w:val="20"/>
            <w:u w:val="single"/>
            <w:shd w:val="clear" w:color="auto" w:fill="FFFFFF"/>
            <w:vertAlign w:val="baseline"/>
          </w:rPr>
          <w:t>, 916 A.2d 257, 277, 397 Md. 108 (Md. 2007)</w:t>
        </w:r>
      </w:hyperlink>
      <w:r>
        <w:rPr>
          <w:rFonts w:ascii="times" w:eastAsia="times" w:hAnsi="times" w:cs="times"/>
          <w:b w:val="0"/>
          <w:i w:val="0"/>
          <w:strike w:val="0"/>
          <w:noProof w:val="0"/>
          <w:color w:val="000000"/>
          <w:position w:val="0"/>
          <w:sz w:val="20"/>
          <w:u w:val="none"/>
          <w:vertAlign w:val="baseline"/>
        </w:rPr>
        <w:t xml:space="preserve">). While plaintiffs perfunctorily allege that they "reasonably relied upon the direct and indirect material acts and actions of Carrington," J.A. 35, this looks more like a "threadbare recital[] of the elements of a cause of action" than a "plausible claim for relief." </w:t>
      </w:r>
      <w:bookmarkStart w:id="122" w:name="Bookmark_I64KM5M72SF8FS0030000400"/>
      <w:bookmarkEnd w:id="122"/>
      <w:hyperlink r:id="rId44" w:history="1">
        <w:r>
          <w:rPr>
            <w:rFonts w:ascii="times" w:eastAsia="times" w:hAnsi="times" w:cs="times"/>
            <w:b w:val="0"/>
            <w:i/>
            <w:strike w:val="0"/>
            <w:noProof w:val="0"/>
            <w:color w:val="0077CC"/>
            <w:position w:val="0"/>
            <w:sz w:val="20"/>
            <w:u w:val="single"/>
            <w:shd w:val="clear" w:color="auto" w:fill="FFFFFF"/>
            <w:vertAlign w:val="baseline"/>
          </w:rPr>
          <w:t>Ashcroft v. Iqbal</w:t>
        </w:r>
      </w:hyperlink>
      <w:hyperlink r:id="rId44" w:history="1">
        <w:r>
          <w:rPr>
            <w:rFonts w:ascii="times" w:eastAsia="times" w:hAnsi="times" w:cs="times"/>
            <w:b w:val="0"/>
            <w:i w:val="0"/>
            <w:strike w:val="0"/>
            <w:noProof w:val="0"/>
            <w:color w:val="0077CC"/>
            <w:position w:val="0"/>
            <w:sz w:val="20"/>
            <w:u w:val="single"/>
            <w:shd w:val="clear" w:color="auto" w:fill="FFFFFF"/>
            <w:vertAlign w:val="baseline"/>
          </w:rPr>
          <w:t>, 556 U.S. 662, 678, 679, 129 S. Ct. 1937, 173 L. Ed. 2d 868 (2009)</w:t>
        </w:r>
      </w:hyperlink>
      <w:r>
        <w:rPr>
          <w:rFonts w:ascii="times" w:eastAsia="times" w:hAnsi="times" w:cs="times"/>
          <w:b w:val="0"/>
          <w:i w:val="0"/>
          <w:strike w:val="0"/>
          <w:noProof w:val="0"/>
          <w:color w:val="000000"/>
          <w:position w:val="0"/>
          <w:sz w:val="20"/>
          <w:u w:val="none"/>
          <w:vertAlign w:val="baseline"/>
        </w:rPr>
        <w:t>. We thus affirm the district court's dismissal of this claim.</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IV.</w:t>
      </w:r>
    </w:p>
    <w:p>
      <w:pPr>
        <w:keepNext w:val="0"/>
        <w:widowControl w:val="0"/>
        <w:spacing w:before="200" w:after="0" w:line="260" w:lineRule="atLeast"/>
        <w:ind w:left="0" w:right="0" w:firstLine="0"/>
        <w:jc w:val="both"/>
      </w:pPr>
      <w:bookmarkStart w:id="123" w:name="Bookmark_para_42"/>
      <w:bookmarkEnd w:id="123"/>
      <w:r>
        <w:rPr>
          <w:rFonts w:ascii="times" w:eastAsia="times" w:hAnsi="times" w:cs="times"/>
          <w:b w:val="0"/>
          <w:i w:val="0"/>
          <w:strike w:val="0"/>
          <w:noProof w:val="0"/>
          <w:color w:val="000000"/>
          <w:position w:val="0"/>
          <w:sz w:val="20"/>
          <w:u w:val="none"/>
          <w:vertAlign w:val="baseline"/>
        </w:rPr>
        <w:t>We do not know if disallowing these fees is a wise policy choice. But it is the choice that Maryland has made, and our role is simply to respect it. For the foregoing reasons, we affirm in part, reverse in part, vacate in part, and remand for further proceedings</w:t>
      </w:r>
      <w:r>
        <w:rPr>
          <w:rFonts w:ascii="times" w:eastAsia="times" w:hAnsi="times" w:cs="times"/>
          <w:b/>
          <w:i w:val="0"/>
          <w:strike w:val="0"/>
          <w:noProof w:val="0"/>
          <w:color w:val="000000"/>
          <w:position w:val="0"/>
          <w:sz w:val="20"/>
          <w:u w:val="none"/>
          <w:vertAlign w:val="baseline"/>
        </w:rPr>
        <w:t> [*22] </w:t>
      </w:r>
      <w:r>
        <w:rPr>
          <w:rFonts w:ascii="times" w:eastAsia="times" w:hAnsi="times" w:cs="times"/>
          <w:b w:val="0"/>
          <w:i w:val="0"/>
          <w:strike w:val="0"/>
          <w:noProof w:val="0"/>
          <w:color w:val="000000"/>
          <w:position w:val="0"/>
          <w:sz w:val="20"/>
          <w:u w:val="none"/>
          <w:vertAlign w:val="baseline"/>
        </w:rPr>
        <w:t xml:space="preserve"> consistent with this opinion.</w:t>
      </w:r>
    </w:p>
    <w:p>
      <w:pPr>
        <w:keepNext w:val="0"/>
        <w:widowControl w:val="0"/>
        <w:spacing w:before="200" w:after="0" w:line="260" w:lineRule="atLeast"/>
        <w:ind w:left="0" w:right="0" w:firstLine="0"/>
        <w:jc w:val="both"/>
      </w:pPr>
      <w:bookmarkStart w:id="124" w:name="Bookmark_para_43"/>
      <w:bookmarkEnd w:id="124"/>
      <w:r>
        <w:rPr>
          <w:rFonts w:ascii="times" w:eastAsia="times" w:hAnsi="times" w:cs="times"/>
          <w:b w:val="0"/>
          <w:i/>
          <w:strike w:val="0"/>
          <w:noProof w:val="0"/>
          <w:color w:val="000000"/>
          <w:position w:val="0"/>
          <w:sz w:val="20"/>
          <w:u w:val="none"/>
          <w:vertAlign w:val="baseline"/>
        </w:rPr>
        <w:t>AFFIRMED IN PART, REVERSED IN PART, VACATED IN PART, AND REMANDED</w:t>
      </w:r>
    </w:p>
    <w:p/>
    <w:p>
      <w:pPr>
        <w:ind w:left="200"/>
      </w:pPr>
      <w:r>
        <w:br/>
      </w:r>
      <w:r>
        <w:pict>
          <v:line id="_x0000_s1027" style="position:absolute;z-index:251659264" from="0,10pt" to="512pt,10pt" strokecolor="black" strokeweight="1pt">
            <v:stroke linestyle="single"/>
          </v:line>
        </w:pict>
      </w:r>
      <w:r>
        <w:rPr>
          <w:rFonts w:ascii="times" w:eastAsia="times" w:hAnsi="times" w:cs="times"/>
          <w:b/>
          <w:color w:val="767676"/>
          <w:sz w:val="16"/>
        </w:rPr>
        <w:t>End of Document</w:t>
      </w:r>
    </w:p>
    <w:sectPr>
      <w:type w:val="continuous"/>
      <w:pgMar w:top="840" w:right="1000" w:bottom="840" w:left="1000" w:header="400" w:footer="400"/>
      <w:pgNumType w:fmt="decimal"/>
      <w:cols w:num="2" w:space="240" w:equalWidt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2600"/>
      <w:gridCol w:w="4880"/>
      <w:gridCol w:w="260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2600" w:type="dxa"/>
          <w:tcMar>
            <w:top w:w="200" w:type="dxa"/>
          </w:tcMar>
          <w:vAlign w:val="center"/>
        </w:tcPr>
        <w:p/>
      </w:tc>
      <w:tc>
        <w:tcPr>
          <w:tcW w:w="4880" w:type="dxa"/>
          <w:tcMar>
            <w:top w:w="200" w:type="dxa"/>
          </w:tcMar>
          <w:vAlign w:val="center"/>
        </w:tcPr>
        <w:p>
          <w:pPr>
            <w:jc w:val="center"/>
          </w:pPr>
        </w:p>
        <w:p>
          <w:pPr>
            <w:jc w:val="center"/>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sz w:val="20"/>
            </w:rPr>
            <w:fldChar w:fldCharType="end"/>
          </w:r>
        </w:p>
      </w:tc>
      <w:tc>
        <w:tcPr>
          <w:tcW w:w="2600" w:type="dxa"/>
          <w:tcMar>
            <w:top w:w="200" w:type="dxa"/>
          </w:tcMar>
          <w:vAlign w:val="center"/>
        </w:tc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20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1 </w:t>
      </w:r>
      <w:bookmarkStart w:id="32" w:name="Bookmark_fnpara_1"/>
      <w:bookmarkEnd w:id="32"/>
      <w:r>
        <w:rPr>
          <w:rFonts w:ascii="times" w:eastAsia="times" w:hAnsi="times" w:cs="times"/>
          <w:b w:val="0"/>
          <w:i w:val="0"/>
          <w:strike w:val="0"/>
          <w:noProof w:val="0"/>
          <w:color w:val="000000"/>
          <w:position w:val="0"/>
          <w:sz w:val="18"/>
          <w:u w:val="none"/>
          <w:vertAlign w:val="baseline"/>
        </w:rPr>
        <w:t>Counts II and III of plaintiffs' amended complaint alleged violations of Maryland's law prohibiting usury and violations of a separate FDCPA provision. The district court dismissed those Counts, and they are not at issue in this appeal.</w:t>
      </w:r>
    </w:p>
  </w:footnote>
  <w:footnote w:id="3">
    <w:p>
      <w:pPr>
        <w:keepNext w:val="0"/>
        <w:widowControl w:val="0"/>
        <w:spacing w:before="20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2 </w:t>
      </w:r>
      <w:bookmarkStart w:id="87" w:name="Bookmark_fnpara_2"/>
      <w:bookmarkEnd w:id="87"/>
      <w:r>
        <w:rPr>
          <w:rFonts w:ascii="times" w:eastAsia="times" w:hAnsi="times" w:cs="times"/>
          <w:b w:val="0"/>
          <w:i w:val="0"/>
          <w:strike w:val="0"/>
          <w:noProof w:val="0"/>
          <w:color w:val="000000"/>
          <w:position w:val="0"/>
          <w:sz w:val="18"/>
          <w:u w:val="none"/>
          <w:vertAlign w:val="baseline"/>
        </w:rPr>
        <w:t xml:space="preserve">As a result, we need not reach Carrington's argument that its fees are not "incidental" here. But in any event, its argument is unpersuasive. Carrington argues that "the convenience fee is not </w:t>
      </w:r>
      <w:r>
        <w:rPr>
          <w:rFonts w:ascii="times" w:eastAsia="times" w:hAnsi="times" w:cs="times"/>
          <w:b w:val="0"/>
          <w:i/>
          <w:strike w:val="0"/>
          <w:noProof w:val="0"/>
          <w:color w:val="000000"/>
          <w:position w:val="0"/>
          <w:sz w:val="18"/>
          <w:u w:val="none"/>
          <w:vertAlign w:val="baseline"/>
        </w:rPr>
        <w:t>dependent</w:t>
      </w:r>
      <w:r>
        <w:rPr>
          <w:rFonts w:ascii="times" w:eastAsia="times" w:hAnsi="times" w:cs="times"/>
          <w:b w:val="0"/>
          <w:i w:val="0"/>
          <w:strike w:val="0"/>
          <w:noProof w:val="0"/>
          <w:color w:val="000000"/>
          <w:position w:val="0"/>
          <w:sz w:val="18"/>
          <w:u w:val="none"/>
          <w:vertAlign w:val="baseline"/>
        </w:rPr>
        <w:t xml:space="preserve"> upon the monthly payment of the mortgage, but upon the borrower's decision to make their mortgage payment online and thereby enjoy the convenience of immediate payment and posting." Appellee's Br. at 36. But we have a hard time seeing how the convenience fee is not incidental to the debt. Without the mortgage payment, there is of course no convenience fee.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1008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10080" w:type="dxa"/>
          <w:vAlign w:val="center"/>
        </w:tcPr>
        <w:p/>
      </w:tc>
    </w:tr>
    <w:tr>
      <w:tblPrEx>
        <w:tblW w:w="10080" w:type="dxa"/>
        <w:jc w:val="center"/>
        <w:tblLayout w:type="fixed"/>
        <w:tblCellMar>
          <w:left w:w="108" w:type="dxa"/>
          <w:right w:w="108" w:type="dxa"/>
        </w:tblCellMar>
      </w:tblPrEx>
      <w:trPr>
        <w:jc w:val="center"/>
      </w:trPr>
      <w:tc>
        <w:tcPr>
          <w:tcW w:w="10080" w:type="dxa"/>
        </w:tcPr>
        <w:p>
          <w:pPr>
            <w:spacing w:before="60" w:after="200"/>
            <w:jc w:val="center"/>
          </w:pPr>
          <w:r>
            <w:rPr>
              <w:rFonts w:ascii="times" w:eastAsia="times" w:hAnsi="times" w:cs="times"/>
              <w:sz w:val="20"/>
            </w:rPr>
            <w:t>Alexander v. Carrington Mortg. Servs., LLC</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dvance.lexis.com/api/document?collection=cases&amp;id=urn:contentItem:64SY-MSN1-F65M-6440-00000-00&amp;context=1000516" TargetMode="External" /><Relationship Id="rId11" Type="http://schemas.openxmlformats.org/officeDocument/2006/relationships/hyperlink" Target="https://advance.lexis.com/api/document?collection=cases&amp;id=urn:contentItem:61H1-J7Y1-F528-G3FP-00000-00&amp;context=1000516" TargetMode="External" /><Relationship Id="rId12" Type="http://schemas.openxmlformats.org/officeDocument/2006/relationships/hyperlink" Target="https://advance.lexis.com/api/document?collection=statutes-legislation&amp;id=urn:contentItem:63SM-VSV1-DYB7-W33V-00000-00&amp;context=1000516" TargetMode="External" /><Relationship Id="rId13" Type="http://schemas.openxmlformats.org/officeDocument/2006/relationships/hyperlink" Target="https://advance.lexis.com/api/document?collection=cases&amp;id=urn:contentItem:5Y33-8RG1-F1WF-M54K-00000-00&amp;context=1000516" TargetMode="External" /><Relationship Id="rId14" Type="http://schemas.openxmlformats.org/officeDocument/2006/relationships/hyperlink" Target="https://advance.lexis.com/api/document?collection=statutes-legislation&amp;id=urn:contentItem:8S9D-W4W2-8T6X-71SF-00000-00&amp;context=1000516" TargetMode="External" /><Relationship Id="rId15" Type="http://schemas.openxmlformats.org/officeDocument/2006/relationships/hyperlink" Target="https://advance.lexis.com/api/document?collection=statutes-legislation&amp;id=urn:contentItem:63SM-VSV1-DYB7-W33W-00000-00&amp;context=1000516" TargetMode="External" /><Relationship Id="rId16" Type="http://schemas.openxmlformats.org/officeDocument/2006/relationships/hyperlink" Target="https://advance.lexis.com/api/document?collection=statutes-legislation&amp;id=urn:contentItem:8S9D-W4W2-8T6X-71SJ-00000-00&amp;context=1000516" TargetMode="External" /><Relationship Id="rId17" Type="http://schemas.openxmlformats.org/officeDocument/2006/relationships/hyperlink" Target="https://advance.lexis.com/api/document?collection=statutes-legislation&amp;id=urn:contentItem:63SM-VSV1-DYB7-W322-00000-00&amp;context=1000516" TargetMode="External" /><Relationship Id="rId18" Type="http://schemas.openxmlformats.org/officeDocument/2006/relationships/hyperlink" Target="https://advance.lexis.com/api/document?collection=statutes-legislation&amp;id=urn:contentItem:63SM-VSV1-DYB7-W320-00000-00&amp;context=1000516" TargetMode="External" /><Relationship Id="rId19" Type="http://schemas.openxmlformats.org/officeDocument/2006/relationships/hyperlink" Target="https://advance.lexis.com/api/document?collection=statutes-legislation&amp;id=urn:contentItem:63SM-VSV1-DYB7-W33X-00000-00&amp;context=1000516" TargetMode="External" /><Relationship Id="rId2" Type="http://schemas.openxmlformats.org/officeDocument/2006/relationships/settings" Target="settings.xml" /><Relationship Id="rId20" Type="http://schemas.openxmlformats.org/officeDocument/2006/relationships/hyperlink" Target="https://advance.lexis.com/api/document?collection=statutes-legislation&amp;id=urn:contentItem:63SM-VSV1-DYB7-W331-00000-00&amp;context=1000516" TargetMode="External" /><Relationship Id="rId21" Type="http://schemas.openxmlformats.org/officeDocument/2006/relationships/hyperlink" Target="https://advance.lexis.com/api/document?collection=statutes-legislation&amp;id=urn:contentItem:8SG9-5HW2-D6RV-H0G4-00000-00&amp;context=1000516" TargetMode="External" /><Relationship Id="rId22" Type="http://schemas.openxmlformats.org/officeDocument/2006/relationships/hyperlink" Target="https://advance.lexis.com/api/document?collection=cases&amp;id=urn:contentItem:5F1F-B6Y1-F04K-M1MC-00000-00&amp;context=1000516" TargetMode="External" /><Relationship Id="rId23" Type="http://schemas.openxmlformats.org/officeDocument/2006/relationships/hyperlink" Target="https://advance.lexis.com/api/document?collection=cases&amp;id=urn:contentItem:5J4V-N611-F04G-S0B0-00000-00&amp;context=1000516" TargetMode="External" /><Relationship Id="rId24" Type="http://schemas.openxmlformats.org/officeDocument/2006/relationships/hyperlink" Target="https://advance.lexis.com/api/document?collection=cases&amp;id=urn:contentItem:55PG-C5K1-F04G-S08T-00000-00&amp;context=1000516" TargetMode="External" /><Relationship Id="rId25" Type="http://schemas.openxmlformats.org/officeDocument/2006/relationships/hyperlink" Target="https://advance.lexis.com/api/document?collection=cases&amp;id=urn:contentItem:4B1S-JC50-0039-444K-00000-00&amp;context=1000516" TargetMode="External" /><Relationship Id="rId26" Type="http://schemas.openxmlformats.org/officeDocument/2006/relationships/hyperlink" Target="https://advance.lexis.com/api/document?collection=cases&amp;id=urn:contentItem:63G5-7JN1-JKB3-X149-00000-00&amp;context=1000516" TargetMode="External" /><Relationship Id="rId27" Type="http://schemas.openxmlformats.org/officeDocument/2006/relationships/hyperlink" Target="https://advance.lexis.com/api/document?collection=statutes-legislation&amp;id=urn:contentItem:8S9D-W4W2-8T6X-71SC-00000-00&amp;context=1000516" TargetMode="External" /><Relationship Id="rId28" Type="http://schemas.openxmlformats.org/officeDocument/2006/relationships/hyperlink" Target="https://advance.lexis.com/api/document?collection=statutes-legislation&amp;id=urn:contentItem:8S9D-W4W2-8T6X-71SD-00000-00&amp;context=1000516" TargetMode="External" /><Relationship Id="rId29" Type="http://schemas.openxmlformats.org/officeDocument/2006/relationships/hyperlink" Target="https://advance.lexis.com/api/document?collection=statutes-legislation&amp;id=urn:contentItem:8S9D-W4W2-8T6X-71SR-00000-00&amp;context=1000516" TargetMode="External" /><Relationship Id="rId3" Type="http://schemas.openxmlformats.org/officeDocument/2006/relationships/webSettings" Target="webSettings.xml" /><Relationship Id="rId30" Type="http://schemas.openxmlformats.org/officeDocument/2006/relationships/hyperlink" Target="https://advance.lexis.com/api/document?collection=cases&amp;id=urn:contentItem:5N3M-1YH1-F04D-F0DH-00000-00&amp;context=1000516" TargetMode="External" /><Relationship Id="rId31" Type="http://schemas.openxmlformats.org/officeDocument/2006/relationships/hyperlink" Target="https://advance.lexis.com/api/document?collection=cases&amp;id=urn:contentItem:5F4F-2BS1-F04D-F026-00000-00&amp;context=1000516" TargetMode="External" /><Relationship Id="rId32" Type="http://schemas.openxmlformats.org/officeDocument/2006/relationships/hyperlink" Target="https://advance.lexis.com/api/document?collection=statutes-legislation&amp;id=urn:contentItem:8S9D-W4W2-8T6X-71SV-00000-00&amp;context=1000516" TargetMode="External" /><Relationship Id="rId33" Type="http://schemas.openxmlformats.org/officeDocument/2006/relationships/hyperlink" Target="https://advance.lexis.com/api/document?collection=analytical-materials&amp;id=urn:contentItem:5RJF-X4R0-00CW-828N-00000-00&amp;context=1000516" TargetMode="External" /><Relationship Id="rId34" Type="http://schemas.openxmlformats.org/officeDocument/2006/relationships/hyperlink" Target="https://advance.lexis.com/api/document?collection=cases&amp;id=urn:contentItem:4RN5-0G70-TXFX-12B7-00000-00&amp;context=1000516" TargetMode="External" /><Relationship Id="rId35" Type="http://schemas.openxmlformats.org/officeDocument/2006/relationships/hyperlink" Target="https://advance.lexis.com/api/document?collection=cases&amp;id=urn:contentItem:3S65-J1H0-003B-R2V1-00000-00&amp;context=1000516" TargetMode="External" /><Relationship Id="rId36" Type="http://schemas.openxmlformats.org/officeDocument/2006/relationships/hyperlink" Target="https://advance.lexis.com/api/document?collection=cases&amp;id=urn:contentItem:3S4X-5TS0-003B-701J-00000-00&amp;context=1000516" TargetMode="External" /><Relationship Id="rId37" Type="http://schemas.openxmlformats.org/officeDocument/2006/relationships/hyperlink" Target="https://advance.lexis.com/api/document?collection=cases&amp;id=urn:contentItem:5VRD-8XH1-FJTD-G4KV-00000-00&amp;context=1000516" TargetMode="External" /><Relationship Id="rId38" Type="http://schemas.openxmlformats.org/officeDocument/2006/relationships/hyperlink" Target="https://advance.lexis.com/api/document?collection=cases&amp;id=urn:contentItem:3X70-S5K0-0038-X530-00000-00&amp;context=1000516" TargetMode="External" /><Relationship Id="rId39" Type="http://schemas.openxmlformats.org/officeDocument/2006/relationships/hyperlink" Target="https://advance.lexis.com/api/document?collection=administrative-codes&amp;id=urn:contentItem:5P56-NXP0-006W-81D6-00000-00&amp;context=1000516" TargetMode="External" /><Relationship Id="rId4" Type="http://schemas.openxmlformats.org/officeDocument/2006/relationships/fontTable" Target="fontTable.xml" /><Relationship Id="rId40" Type="http://schemas.openxmlformats.org/officeDocument/2006/relationships/hyperlink" Target="https://advance.lexis.com/api/document?collection=cases&amp;id=urn:contentItem:3YVK-CCX0-004C-001M-00000-00&amp;context=1000516" TargetMode="External" /><Relationship Id="rId41" Type="http://schemas.openxmlformats.org/officeDocument/2006/relationships/hyperlink" Target="https://advance.lexis.com/api/document?collection=cases&amp;id=urn:contentItem:3S65-KJK0-003B-R4X5-00000-00&amp;context=1000516" TargetMode="External" /><Relationship Id="rId42" Type="http://schemas.openxmlformats.org/officeDocument/2006/relationships/hyperlink" Target="https://advance.lexis.com/api/document?collection=cases&amp;id=urn:contentItem:55KN-FTN1-F04D-F0F9-00000-00&amp;context=1000516" TargetMode="External" /><Relationship Id="rId43" Type="http://schemas.openxmlformats.org/officeDocument/2006/relationships/hyperlink" Target="https://advance.lexis.com/api/document?collection=cases&amp;id=urn:contentItem:4N27-W9V0-TVVH-623J-00000-00&amp;context=1000516" TargetMode="External" /><Relationship Id="rId44" Type="http://schemas.openxmlformats.org/officeDocument/2006/relationships/hyperlink" Target="https://advance.lexis.com/api/document?collection=cases&amp;id=urn:contentItem:4W9Y-4KS0-TXFX-1325-00000-00&amp;context=1000516" TargetMode="External" /><Relationship Id="rId45" Type="http://schemas.openxmlformats.org/officeDocument/2006/relationships/theme" Target="theme/theme1.xml" /><Relationship Id="rId46" Type="http://schemas.openxmlformats.org/officeDocument/2006/relationships/styles" Target="styles.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hyperlink" Target="https://advance.lexis.com/api/document?collection=cases&amp;id=urn:contentItem:64K7-1BN1-F8KH-X0XT-00000-00&amp;context=10005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v. Carrington Mortg. Servs., LLC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168850045</vt:lpwstr>
  </property>
  <property fmtid="{D5CDD505-2E9C-101B-9397-08002B2CF9AE}" pid="3" name="LADocCount">
    <vt:lpwstr>1</vt:lpwstr>
  </property>
  <property fmtid="{D5CDD505-2E9C-101B-9397-08002B2CF9AE}" pid="4" name="UserPermID">
    <vt:lpwstr>urn:user:PA5500103</vt:lpwstr>
  </property>
</Properties>
</file>