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9.0 -->
  <w:body>
    <w:p>
      <w:pPr>
        <w:sectPr>
          <w:headerReference w:type="default" r:id="rId5"/>
          <w:footerReference w:type="default" r:id="rId6"/>
          <w:footerReference w:type="first" r:id="rId7"/>
          <w:pgSz w:w="12240" w:h="15840"/>
          <w:pgMar w:top="840" w:right="1000" w:bottom="840" w:left="1000" w:header="400" w:footer="400"/>
          <w:pgNumType w:fmt="decimal"/>
          <w:cols w:space="720"/>
          <w:titlePg/>
        </w:sectPr>
      </w:pPr>
    </w:p>
    <w:p>
      <w:bookmarkStart w:id="0" w:name="Bookmark_1"/>
      <w:bookmarkEnd w:id="0"/>
    </w:p>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exisNexis®" style="width:147.75pt;height:30pt">
            <v:imagedata r:id="rId8" o:title=""/>
          </v:shape>
        </w:pict>
      </w:r>
      <w:r>
        <w:cr/>
      </w:r>
    </w:p>
    <w:p>
      <w:pPr>
        <w:pStyle w:val="Heading1"/>
        <w:keepNext w:val="0"/>
        <w:widowControl w:val="0"/>
        <w:spacing w:after="200" w:line="340" w:lineRule="atLeast"/>
        <w:ind w:left="0" w:right="0" w:firstLine="0"/>
        <w:jc w:val="center"/>
      </w:pPr>
      <w:hyperlink r:id="rId9" w:history="1">
        <w:r>
          <w:rPr>
            <w:rFonts w:ascii="times" w:eastAsia="times" w:hAnsi="times" w:cs="times"/>
            <w:b/>
            <w:i w:val="0"/>
            <w:strike w:val="0"/>
            <w:color w:val="0077CC"/>
            <w:sz w:val="28"/>
            <w:u w:val="single"/>
            <w:shd w:val="clear" w:color="auto" w:fill="FFFFFF"/>
            <w:vertAlign w:val="baseline"/>
          </w:rPr>
          <w:t>Naimoli v. Ocwen Loan Servicing, LLC</w:t>
        </w:r>
      </w:hyperlink>
    </w:p>
    <w:p>
      <w:pPr>
        <w:keepNext w:val="0"/>
        <w:widowControl w:val="0"/>
        <w:spacing w:before="120" w:after="0" w:line="260" w:lineRule="atLeast"/>
        <w:ind w:left="0" w:right="0" w:firstLine="0"/>
        <w:jc w:val="center"/>
      </w:pPr>
      <w:r>
        <w:rPr>
          <w:rFonts w:ascii="times" w:eastAsia="times" w:hAnsi="times" w:cs="times"/>
          <w:b w:val="0"/>
          <w:i w:val="0"/>
          <w:strike w:val="0"/>
          <w:noProof w:val="0"/>
          <w:color w:val="000000"/>
          <w:position w:val="0"/>
          <w:sz w:val="20"/>
          <w:u w:val="none"/>
          <w:vertAlign w:val="baseline"/>
        </w:rPr>
        <w:t>United States Court of Appeals for the Second Circuit</w:t>
      </w:r>
    </w:p>
    <w:p>
      <w:pPr>
        <w:keepNext w:val="0"/>
        <w:widowControl w:val="0"/>
        <w:spacing w:before="120" w:after="0" w:line="260" w:lineRule="atLeast"/>
        <w:ind w:left="0" w:right="0" w:firstLine="0"/>
        <w:jc w:val="center"/>
      </w:pPr>
      <w:r>
        <w:rPr>
          <w:rFonts w:ascii="times" w:eastAsia="times" w:hAnsi="times" w:cs="times"/>
          <w:b w:val="0"/>
          <w:i w:val="0"/>
          <w:strike w:val="0"/>
          <w:noProof w:val="0"/>
          <w:color w:val="000000"/>
          <w:position w:val="0"/>
          <w:sz w:val="20"/>
          <w:u w:val="none"/>
          <w:vertAlign w:val="baseline"/>
        </w:rPr>
        <w:t>April 5, 2021, Argued; January 7, 2022, Decided</w:t>
      </w:r>
    </w:p>
    <w:p>
      <w:pPr>
        <w:keepNext w:val="0"/>
        <w:widowControl w:val="0"/>
        <w:spacing w:before="120" w:after="0" w:line="260" w:lineRule="atLeast"/>
        <w:ind w:left="0" w:right="0" w:firstLine="0"/>
        <w:jc w:val="center"/>
        <w:sectPr>
          <w:type w:val="continuous"/>
          <w:pgMar w:top="840" w:right="1000" w:bottom="840" w:left="1000" w:header="400" w:footer="400"/>
          <w:pgNumType w:fmt="decimal"/>
          <w:cols w:num="1" w:space="240" w:equalWidth="1"/>
        </w:sectPr>
      </w:pPr>
      <w:r>
        <w:rPr>
          <w:rFonts w:ascii="times" w:eastAsia="times" w:hAnsi="times" w:cs="times"/>
          <w:b w:val="0"/>
          <w:i w:val="0"/>
          <w:strike w:val="0"/>
          <w:noProof w:val="0"/>
          <w:color w:val="000000"/>
          <w:position w:val="0"/>
          <w:sz w:val="20"/>
          <w:u w:val="none"/>
          <w:vertAlign w:val="baseline"/>
        </w:rPr>
        <w:t>No. 20-1683-cv</w:t>
      </w:r>
    </w:p>
    <w:p>
      <w:pPr>
        <w:keepNext w:val="0"/>
        <w:widowControl w:val="0"/>
        <w:spacing w:after="0" w:line="240" w:lineRule="atLeast"/>
        <w:ind w:right="0"/>
        <w:jc w:val="both"/>
      </w:pPr>
    </w:p>
    <w:p>
      <w:pPr>
        <w:keepNext w:val="0"/>
        <w:widowControl w:val="0"/>
        <w:spacing w:before="200" w:after="0" w:line="240" w:lineRule="atLeast"/>
        <w:ind w:left="0" w:right="0" w:firstLine="0"/>
        <w:jc w:val="left"/>
      </w:pPr>
      <w:bookmarkStart w:id="1" w:name="Reporter"/>
      <w:bookmarkEnd w:id="1"/>
      <w:r>
        <w:rPr>
          <w:rFonts w:ascii="times" w:eastAsia="times" w:hAnsi="times" w:cs="times"/>
          <w:b/>
          <w:i w:val="0"/>
          <w:strike w:val="0"/>
          <w:noProof w:val="0"/>
          <w:color w:val="000000"/>
          <w:position w:val="0"/>
          <w:sz w:val="18"/>
          <w:u w:val="none"/>
          <w:vertAlign w:val="baseline"/>
        </w:rPr>
        <w:t>Reporter</w:t>
      </w:r>
    </w:p>
    <w:p>
      <w:pPr>
        <w:keepNext w:val="0"/>
        <w:widowControl w:val="0"/>
        <w:spacing w:after="0" w:line="240" w:lineRule="atLeast"/>
        <w:ind w:left="0" w:right="0" w:firstLine="0"/>
        <w:jc w:val="left"/>
        <w:sectPr>
          <w:type w:val="continuous"/>
          <w:pgMar w:top="840" w:right="1000" w:bottom="840" w:left="1000" w:header="400" w:footer="400"/>
          <w:pgNumType w:fmt="decimal"/>
          <w:cols w:num="1" w:space="240" w:equalWidth="1"/>
        </w:sectPr>
      </w:pPr>
      <w:r>
        <w:rPr>
          <w:rFonts w:ascii="times" w:eastAsia="times" w:hAnsi="times" w:cs="times"/>
          <w:b w:val="0"/>
          <w:i w:val="0"/>
          <w:strike w:val="0"/>
          <w:noProof w:val="0"/>
          <w:color w:val="000000"/>
          <w:position w:val="0"/>
          <w:sz w:val="18"/>
          <w:u w:val="none"/>
          <w:vertAlign w:val="baseline"/>
        </w:rPr>
        <w:t>2022 U.S. App. LEXIS 546 *</w:t>
      </w:r>
      <w:r>
        <w:rPr>
          <w:rFonts w:ascii="times" w:eastAsia="times" w:hAnsi="times" w:cs="times"/>
          <w:b w:val="0"/>
          <w:i w:val="0"/>
          <w:strike w:val="0"/>
          <w:noProof w:val="0"/>
          <w:color w:val="000000"/>
          <w:position w:val="0"/>
          <w:sz w:val="18"/>
          <w:u w:val="none"/>
          <w:vertAlign w:val="baseline"/>
        </w:rPr>
        <w:t xml:space="preserve">; </w:t>
      </w:r>
      <w:r>
        <w:rPr>
          <w:rFonts w:ascii="times" w:eastAsia="times" w:hAnsi="times" w:cs="times"/>
          <w:b w:val="0"/>
          <w:i w:val="0"/>
          <w:strike w:val="0"/>
          <w:noProof w:val="0"/>
          <w:color w:val="000000"/>
          <w:position w:val="0"/>
          <w:sz w:val="18"/>
          <w:u w:val="none"/>
          <w:vertAlign w:val="baseline"/>
        </w:rPr>
        <w:t>22 F.4th 376</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KIM NAIMOLI, Plaintiff-Appellant, v. OCWEN LOAN SERVICING, LLC, Defendant-Appellee.</w:t>
      </w:r>
    </w:p>
    <w:p>
      <w:pPr>
        <w:keepNext w:val="0"/>
        <w:widowControl w:val="0"/>
        <w:spacing w:before="240" w:after="0" w:line="260" w:lineRule="atLeast"/>
        <w:ind w:left="0" w:right="0" w:firstLine="0"/>
        <w:jc w:val="both"/>
      </w:pPr>
      <w:bookmarkStart w:id="2" w:name="Prior History"/>
      <w:bookmarkEnd w:id="2"/>
      <w:r>
        <w:rPr>
          <w:rFonts w:ascii="times" w:eastAsia="times" w:hAnsi="times" w:cs="times"/>
          <w:b/>
          <w:i w:val="0"/>
          <w:strike w:val="0"/>
          <w:noProof w:val="0"/>
          <w:color w:val="000000"/>
          <w:position w:val="0"/>
          <w:sz w:val="20"/>
          <w:u w:val="none"/>
          <w:vertAlign w:val="baseline"/>
        </w:rPr>
        <w:t>Prior History:</w:t>
      </w:r>
      <w:r>
        <w:rPr>
          <w:rFonts w:ascii="times" w:eastAsia="times" w:hAnsi="times" w:cs="times"/>
          <w:b w:val="0"/>
          <w:i w:val="0"/>
          <w:strike w:val="0"/>
          <w:noProof w:val="0"/>
          <w:color w:val="000000"/>
          <w:position w:val="0"/>
          <w:sz w:val="20"/>
          <w:u w:val="none"/>
          <w:vertAlign w:val="baseline"/>
        </w:rPr>
        <w:t> </w:t>
      </w:r>
      <w:bookmarkStart w:id="3" w:name="Bookmark_para_1"/>
      <w:bookmarkEnd w:id="3"/>
      <w:r>
        <w:rPr>
          <w:rFonts w:ascii="times" w:eastAsia="times" w:hAnsi="times" w:cs="times"/>
          <w:b/>
          <w:i w:val="0"/>
          <w:strike w:val="0"/>
          <w:noProof w:val="0"/>
          <w:color w:val="000000"/>
          <w:position w:val="0"/>
          <w:sz w:val="20"/>
          <w:u w:val="none"/>
          <w:vertAlign w:val="baseline"/>
        </w:rPr>
        <w:t> [*1] </w:t>
      </w:r>
      <w:r>
        <w:rPr>
          <w:rFonts w:ascii="times" w:eastAsia="times" w:hAnsi="times" w:cs="times"/>
          <w:b w:val="0"/>
          <w:i w:val="0"/>
          <w:strike w:val="0"/>
          <w:noProof w:val="0"/>
          <w:color w:val="000000"/>
          <w:position w:val="0"/>
          <w:sz w:val="20"/>
          <w:u w:val="none"/>
          <w:vertAlign w:val="baseline"/>
        </w:rPr>
        <w:t>Appeal from the United States District Court for the Western District of New York. No. 18 Civ. 06180 (EAW), Elizabeth A. Wolford, District Judge, Presiding.</w:t>
      </w:r>
    </w:p>
    <w:p>
      <w:pPr>
        <w:keepNext w:val="0"/>
        <w:widowControl w:val="0"/>
        <w:spacing w:before="240" w:after="0" w:line="260" w:lineRule="atLeast"/>
        <w:ind w:left="0" w:right="0" w:firstLine="0"/>
        <w:jc w:val="both"/>
      </w:pPr>
      <w:bookmarkStart w:id="4" w:name="Bookmark_para_2"/>
      <w:bookmarkEnd w:id="4"/>
      <w:r>
        <w:rPr>
          <w:rFonts w:ascii="times" w:eastAsia="times" w:hAnsi="times" w:cs="times"/>
          <w:b w:val="0"/>
          <w:i w:val="0"/>
          <w:strike w:val="0"/>
          <w:noProof w:val="0"/>
          <w:color w:val="000000"/>
          <w:position w:val="0"/>
          <w:sz w:val="20"/>
          <w:u w:val="none"/>
          <w:vertAlign w:val="baseline"/>
        </w:rPr>
        <w:t xml:space="preserve">Plaintiff-Appellant Kim Naimoli appeals from a judgment of the United States District Court for the Western District of New York (Wolford, J.) dismissing her claims against Defendant-Appellee Ocwen Loan Servicing, LLC. Naimoli sued under the </w:t>
      </w:r>
      <w:hyperlink r:id="rId10" w:history="1">
        <w:r>
          <w:rPr>
            <w:rFonts w:ascii="times" w:eastAsia="times" w:hAnsi="times" w:cs="times"/>
            <w:b w:val="0"/>
            <w:i w:val="0"/>
            <w:strike w:val="0"/>
            <w:noProof w:val="0"/>
            <w:color w:val="0077CC"/>
            <w:position w:val="0"/>
            <w:sz w:val="20"/>
            <w:u w:val="single"/>
            <w:shd w:val="clear" w:color="auto" w:fill="FFFFFF"/>
            <w:vertAlign w:val="baseline"/>
          </w:rPr>
          <w:t>Real Estate Settlement Procedures Act (RESPA), 12 U.S.C. §§ 2601-2617</w:t>
        </w:r>
      </w:hyperlink>
      <w:r>
        <w:rPr>
          <w:rFonts w:ascii="times" w:eastAsia="times" w:hAnsi="times" w:cs="times"/>
          <w:b w:val="0"/>
          <w:i w:val="0"/>
          <w:strike w:val="0"/>
          <w:noProof w:val="0"/>
          <w:color w:val="000000"/>
          <w:position w:val="0"/>
          <w:sz w:val="20"/>
          <w:u w:val="none"/>
          <w:vertAlign w:val="baseline"/>
        </w:rPr>
        <w:t xml:space="preserve">, alleging that Ocwen's failure to record her mortgage instruments and its actions in losing key mortgage documents constituted covered errors under the catch-all provision of </w:t>
      </w:r>
      <w:hyperlink r:id="rId11" w:history="1">
        <w:r>
          <w:rPr>
            <w:rFonts w:ascii="times" w:eastAsia="times" w:hAnsi="times" w:cs="times"/>
            <w:b w:val="0"/>
            <w:i w:val="0"/>
            <w:strike w:val="0"/>
            <w:noProof w:val="0"/>
            <w:color w:val="0077CC"/>
            <w:position w:val="0"/>
            <w:sz w:val="20"/>
            <w:u w:val="single"/>
            <w:shd w:val="clear" w:color="auto" w:fill="FFFFFF"/>
            <w:vertAlign w:val="baseline"/>
          </w:rPr>
          <w:t>Regulation X</w:t>
        </w:r>
      </w:hyperlink>
      <w:r>
        <w:rPr>
          <w:rFonts w:ascii="times" w:eastAsia="times" w:hAnsi="times" w:cs="times"/>
          <w:b w:val="0"/>
          <w:i w:val="0"/>
          <w:strike w:val="0"/>
          <w:noProof w:val="0"/>
          <w:color w:val="000000"/>
          <w:position w:val="0"/>
          <w:sz w:val="20"/>
          <w:u w:val="none"/>
          <w:vertAlign w:val="baseline"/>
        </w:rPr>
        <w:t xml:space="preserve"> (RESPA's implementing regulation). The district court granted Ocwen summary judgment, holding that Naimoli's asserted errors did not fall within the catch-all provision because they were errors relating to loss mitigation options rather than errors relating to the servicing of Naimoli's loan. We disagree. We conclude that Naimoli's asserted errors are covered by the catch-all provision of </w:t>
      </w:r>
      <w:hyperlink r:id="rId11" w:history="1">
        <w:r>
          <w:rPr>
            <w:rFonts w:ascii="times" w:eastAsia="times" w:hAnsi="times" w:cs="times"/>
            <w:b w:val="0"/>
            <w:i w:val="0"/>
            <w:strike w:val="0"/>
            <w:noProof w:val="0"/>
            <w:color w:val="0077CC"/>
            <w:position w:val="0"/>
            <w:sz w:val="20"/>
            <w:u w:val="single"/>
            <w:shd w:val="clear" w:color="auto" w:fill="FFFFFF"/>
            <w:vertAlign w:val="baseline"/>
          </w:rPr>
          <w:t>Regulation X</w:t>
        </w:r>
      </w:hyperlink>
      <w:r>
        <w:rPr>
          <w:rFonts w:ascii="times" w:eastAsia="times" w:hAnsi="times" w:cs="times"/>
          <w:b w:val="0"/>
          <w:i w:val="0"/>
          <w:strike w:val="0"/>
          <w:noProof w:val="0"/>
          <w:color w:val="000000"/>
          <w:position w:val="0"/>
          <w:sz w:val="20"/>
          <w:u w:val="none"/>
          <w:vertAlign w:val="baseline"/>
        </w:rPr>
        <w:t>. Accordingly, we REVERSE and REMAND for further proceedings consistent with this opinion.</w:t>
      </w:r>
    </w:p>
    <w:p>
      <w:pPr>
        <w:keepNext w:val="0"/>
        <w:widowControl w:val="0"/>
        <w:spacing w:before="240" w:after="0" w:line="260" w:lineRule="atLeast"/>
        <w:ind w:left="0" w:right="0" w:firstLine="0"/>
        <w:jc w:val="left"/>
      </w:pPr>
      <w:hyperlink r:id="rId12" w:history="1">
        <w:r>
          <w:rPr>
            <w:rFonts w:ascii="times" w:eastAsia="times" w:hAnsi="times" w:cs="times"/>
            <w:b w:val="0"/>
            <w:i w:val="0"/>
            <w:strike w:val="0"/>
            <w:color w:val="0077CC"/>
            <w:sz w:val="20"/>
            <w:u w:val="single"/>
            <w:shd w:val="clear" w:color="auto" w:fill="FFFFFF"/>
            <w:vertAlign w:val="baseline"/>
          </w:rPr>
          <w:t>Naimoli v. Ocwen Loan Serving, LLC, 2020 U.S. Dist. LEXIS 75076, 2020 WL 2059780 (W.D.N.Y., Apr. 29, 2020)</w:t>
        </w:r>
      </w:hyperlink>
    </w:p>
    <w:p>
      <w:pPr>
        <w:keepNext w:val="0"/>
        <w:widowControl w:val="0"/>
        <w:spacing w:before="240" w:after="0" w:line="260" w:lineRule="atLeast"/>
        <w:ind w:left="0" w:right="0" w:firstLine="0"/>
        <w:jc w:val="left"/>
      </w:pPr>
      <w:bookmarkStart w:id="5" w:name="Counsel"/>
      <w:bookmarkEnd w:id="5"/>
      <w:r>
        <w:rPr>
          <w:rFonts w:ascii="times" w:eastAsia="times" w:hAnsi="times" w:cs="times"/>
          <w:b/>
          <w:i w:val="0"/>
          <w:strike w:val="0"/>
          <w:noProof w:val="0"/>
          <w:color w:val="000000"/>
          <w:position w:val="0"/>
          <w:sz w:val="20"/>
          <w:u w:val="none"/>
          <w:vertAlign w:val="baseline"/>
        </w:rPr>
        <w:t>Counsel:</w:t>
      </w:r>
      <w:r>
        <w:rPr>
          <w:rFonts w:ascii="times" w:eastAsia="times" w:hAnsi="times" w:cs="times"/>
          <w:b w:val="0"/>
          <w:i w:val="0"/>
          <w:strike w:val="0"/>
          <w:noProof w:val="0"/>
          <w:color w:val="000000"/>
          <w:position w:val="0"/>
          <w:sz w:val="20"/>
          <w:u w:val="none"/>
          <w:vertAlign w:val="baseline"/>
        </w:rPr>
        <w:t> JAVIER L. MERINO (Marc E. Dann, on the brief), Dann Law Firm, Cleveland, OH for Plaintiff-Appellant.</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LEAH N. JACOB (Patrick G. Broderick, on the</w:t>
      </w:r>
      <w:r>
        <w:rPr>
          <w:rFonts w:ascii="times" w:eastAsia="times" w:hAnsi="times" w:cs="times"/>
          <w:b/>
          <w:i w:val="0"/>
          <w:strike w:val="0"/>
          <w:noProof w:val="0"/>
          <w:color w:val="000000"/>
          <w:position w:val="0"/>
          <w:sz w:val="20"/>
          <w:u w:val="none"/>
          <w:vertAlign w:val="baseline"/>
        </w:rPr>
        <w:t> [*2] </w:t>
      </w:r>
      <w:r>
        <w:rPr>
          <w:rFonts w:ascii="times" w:eastAsia="times" w:hAnsi="times" w:cs="times"/>
          <w:b w:val="0"/>
          <w:i w:val="0"/>
          <w:strike w:val="0"/>
          <w:noProof w:val="0"/>
          <w:color w:val="000000"/>
          <w:position w:val="0"/>
          <w:sz w:val="20"/>
          <w:u w:val="none"/>
          <w:vertAlign w:val="baseline"/>
        </w:rPr>
        <w:t xml:space="preserve"> brief), Greenberg Traurig, LLP, New York, NY for Defendant-Appellee.</w:t>
      </w:r>
    </w:p>
    <w:p>
      <w:pPr>
        <w:keepNext w:val="0"/>
        <w:widowControl w:val="0"/>
        <w:spacing w:before="240" w:after="0" w:line="260" w:lineRule="atLeast"/>
        <w:ind w:left="0" w:right="0" w:firstLine="0"/>
        <w:jc w:val="left"/>
      </w:pPr>
      <w:bookmarkStart w:id="6" w:name="Judges"/>
      <w:bookmarkEnd w:id="6"/>
      <w:r>
        <w:rPr>
          <w:rFonts w:ascii="times" w:eastAsia="times" w:hAnsi="times" w:cs="times"/>
          <w:b/>
          <w:i w:val="0"/>
          <w:strike w:val="0"/>
          <w:noProof w:val="0"/>
          <w:color w:val="000000"/>
          <w:position w:val="0"/>
          <w:sz w:val="20"/>
          <w:u w:val="none"/>
          <w:vertAlign w:val="baseline"/>
        </w:rPr>
        <w:t>Judges:</w:t>
      </w:r>
      <w:r>
        <w:rPr>
          <w:rFonts w:ascii="times" w:eastAsia="times" w:hAnsi="times" w:cs="times"/>
          <w:b w:val="0"/>
          <w:i w:val="0"/>
          <w:strike w:val="0"/>
          <w:noProof w:val="0"/>
          <w:color w:val="000000"/>
          <w:position w:val="0"/>
          <w:sz w:val="20"/>
          <w:u w:val="none"/>
          <w:vertAlign w:val="baseline"/>
        </w:rPr>
        <w:t> Before: PARKER and MENASHI, Circuit Judges.</w:t>
      </w:r>
      <w:r>
        <w:rPr>
          <w:rFonts w:ascii="times" w:eastAsia="times" w:hAnsi="times" w:cs="times"/>
          <w:vertAlign w:val="superscript"/>
        </w:rPr>
        <w:footnoteReference w:customMarkFollows="1" w:id="2"/>
        <w:t xml:space="preserve">*</w:t>
      </w:r>
    </w:p>
    <w:p>
      <w:pPr>
        <w:keepNext w:val="0"/>
        <w:widowControl w:val="0"/>
        <w:spacing w:before="240" w:after="0" w:line="260" w:lineRule="atLeast"/>
        <w:ind w:left="0" w:right="0" w:firstLine="0"/>
        <w:jc w:val="left"/>
      </w:pPr>
      <w:bookmarkStart w:id="8" w:name="Opinion by"/>
      <w:bookmarkEnd w:id="8"/>
      <w:r>
        <w:rPr>
          <w:rFonts w:ascii="times" w:eastAsia="times" w:hAnsi="times" w:cs="times"/>
          <w:b/>
          <w:i w:val="0"/>
          <w:strike w:val="0"/>
          <w:noProof w:val="0"/>
          <w:color w:val="000000"/>
          <w:position w:val="0"/>
          <w:sz w:val="20"/>
          <w:u w:val="none"/>
          <w:vertAlign w:val="baseline"/>
        </w:rPr>
        <w:t>Opinion by:</w:t>
      </w:r>
      <w:r>
        <w:rPr>
          <w:rFonts w:ascii="times" w:eastAsia="times" w:hAnsi="times" w:cs="times"/>
          <w:b w:val="0"/>
          <w:i w:val="0"/>
          <w:strike w:val="0"/>
          <w:noProof w:val="0"/>
          <w:color w:val="000000"/>
          <w:position w:val="0"/>
          <w:sz w:val="20"/>
          <w:u w:val="none"/>
          <w:vertAlign w:val="baseline"/>
        </w:rPr>
        <w:t> BARRINGTON D. PARKER</w:t>
      </w:r>
    </w:p>
    <w:p>
      <w:pPr>
        <w:keepNext/>
        <w:widowControl w:val="0"/>
        <w:spacing w:before="240" w:after="0" w:line="340" w:lineRule="atLeast"/>
        <w:ind w:left="0" w:right="0" w:firstLine="0"/>
        <w:jc w:val="left"/>
      </w:pPr>
      <w:bookmarkStart w:id="9" w:name="Opinion"/>
      <w:bookmarkEnd w:id="9"/>
      <w:r>
        <w:rPr>
          <w:rFonts w:ascii="times" w:eastAsia="times" w:hAnsi="times" w:cs="times"/>
          <w:b/>
          <w:i w:val="0"/>
          <w:strike w:val="0"/>
          <w:noProof w:val="0"/>
          <w:color w:val="000000"/>
          <w:position w:val="0"/>
          <w:sz w:val="28"/>
          <w:u w:val="none"/>
          <w:vertAlign w:val="baseline"/>
        </w:rPr>
        <w:t>Opinion</w:t>
      </w:r>
    </w:p>
    <w:p>
      <w:pPr>
        <w:spacing w:line="60" w:lineRule="exact"/>
      </w:pPr>
      <w:r>
        <w:pict>
          <v:line id="_x0000_s1026" style="position:absolute;z-index:251658240" from="0,2pt" to="251pt,2pt" strokecolor="#009ddb" strokeweight="2pt">
            <v:stroke linestyle="single"/>
            <w10:wrap type="topAndBottom"/>
          </v:line>
        </w:pict>
      </w:r>
    </w:p>
    <w:p/>
    <w:p>
      <w:pPr>
        <w:keepNext w:val="0"/>
        <w:widowControl w:val="0"/>
        <w:spacing w:before="200" w:after="0" w:line="260" w:lineRule="atLeast"/>
        <w:ind w:left="0" w:right="0" w:firstLine="0"/>
        <w:jc w:val="both"/>
      </w:pPr>
      <w:bookmarkStart w:id="10" w:name="Bookmark_para_3"/>
      <w:bookmarkEnd w:id="10"/>
      <w:r>
        <w:rPr>
          <w:rFonts w:ascii="times" w:eastAsia="times" w:hAnsi="times" w:cs="times"/>
          <w:b w:val="0"/>
          <w:i w:val="0"/>
          <w:strike w:val="0"/>
          <w:noProof w:val="0"/>
          <w:color w:val="000000"/>
          <w:position w:val="0"/>
          <w:sz w:val="20"/>
          <w:u w:val="none"/>
          <w:vertAlign w:val="baseline"/>
        </w:rPr>
        <w:t>BARRINGTON D. PARKER, Circuit Judge:</w:t>
      </w:r>
    </w:p>
    <w:p>
      <w:pPr>
        <w:keepNext w:val="0"/>
        <w:widowControl w:val="0"/>
        <w:spacing w:before="240" w:after="0" w:line="260" w:lineRule="atLeast"/>
        <w:ind w:left="0" w:right="0" w:firstLine="0"/>
        <w:jc w:val="both"/>
      </w:pPr>
      <w:bookmarkStart w:id="11" w:name="Bookmark_para_4"/>
      <w:bookmarkEnd w:id="11"/>
      <w:r>
        <w:rPr>
          <w:rFonts w:ascii="times" w:eastAsia="times" w:hAnsi="times" w:cs="times"/>
          <w:b w:val="0"/>
          <w:i w:val="0"/>
          <w:strike w:val="0"/>
          <w:noProof w:val="0"/>
          <w:color w:val="000000"/>
          <w:position w:val="0"/>
          <w:sz w:val="20"/>
          <w:u w:val="none"/>
          <w:vertAlign w:val="baseline"/>
        </w:rPr>
        <w:t xml:space="preserve">Kim Naimoli took out a mortgage loan to finance the purchase of her home, but she defaulted on her mortgage payments. In order to avoid foreclosure, Naimoli requested a loan modification from her loan servicer, Ocwen Loan Servicing, LLC. Ocwen approved her for a trial period mortgage loan modification plan. Although Naimoli successfully completed the trial period plan, Ocwen denied her the loan modification because it had failed to record her mortgage as it was obligated to do and because it had lost key documents that it had required Naimoli to re-execute in order to implement the loan modification. To secure the promised loan modification, Naimoli sued Ocwen under the </w:t>
      </w:r>
      <w:hyperlink r:id="rId10" w:history="1">
        <w:r>
          <w:rPr>
            <w:rFonts w:ascii="times" w:eastAsia="times" w:hAnsi="times" w:cs="times"/>
            <w:b w:val="0"/>
            <w:i w:val="0"/>
            <w:strike w:val="0"/>
            <w:noProof w:val="0"/>
            <w:color w:val="0077CC"/>
            <w:position w:val="0"/>
            <w:sz w:val="20"/>
            <w:u w:val="single"/>
            <w:shd w:val="clear" w:color="auto" w:fill="FFFFFF"/>
            <w:vertAlign w:val="baseline"/>
          </w:rPr>
          <w:t>Real Estate Settlement Procedures Act ("RESPA"), 12 U.S.C. §§ 2601-2617</w:t>
        </w:r>
      </w:hyperlink>
      <w:r>
        <w:rPr>
          <w:rFonts w:ascii="times" w:eastAsia="times" w:hAnsi="times" w:cs="times"/>
          <w:b w:val="0"/>
          <w:i w:val="0"/>
          <w:strike w:val="0"/>
          <w:noProof w:val="0"/>
          <w:color w:val="000000"/>
          <w:position w:val="0"/>
          <w:sz w:val="20"/>
          <w:u w:val="none"/>
          <w:vertAlign w:val="baseline"/>
        </w:rPr>
        <w:t>.</w:t>
      </w:r>
    </w:p>
    <w:p>
      <w:pPr>
        <w:keepNext w:val="0"/>
        <w:widowControl w:val="0"/>
        <w:spacing w:before="240" w:after="0" w:line="260" w:lineRule="atLeast"/>
        <w:ind w:left="0" w:right="0" w:firstLine="0"/>
        <w:jc w:val="both"/>
      </w:pPr>
      <w:bookmarkStart w:id="12" w:name="Bookmark_para_5"/>
      <w:bookmarkEnd w:id="12"/>
      <w:bookmarkStart w:id="13" w:name="Bookmark_I64HXDBS2SF7NY0020000400"/>
      <w:bookmarkEnd w:id="13"/>
      <w:bookmarkStart w:id="14" w:name="Bookmark_LNHNREFclscc1"/>
      <w:bookmarkEnd w:id="14"/>
      <w:r>
        <w:rPr>
          <w:rFonts w:ascii="times" w:eastAsia="times" w:hAnsi="times" w:cs="times"/>
          <w:b w:val="0"/>
          <w:i w:val="0"/>
          <w:strike w:val="0"/>
          <w:noProof w:val="0"/>
          <w:color w:val="000000"/>
          <w:position w:val="0"/>
          <w:sz w:val="20"/>
          <w:u w:val="none"/>
          <w:vertAlign w:val="baseline"/>
        </w:rPr>
        <w:t xml:space="preserve">RESPA, a consumer protection statute, regulates the real estate settlement process, and, along with its implementing regulations, provides a framework for borrowers to remedy errors relating to the servicing of their mortgage loans. One of RESPA's implementing regulations, </w:t>
      </w:r>
      <w:hyperlink r:id="rId11" w:history="1">
        <w:r>
          <w:rPr>
            <w:rFonts w:ascii="times" w:eastAsia="times" w:hAnsi="times" w:cs="times"/>
            <w:b w:val="0"/>
            <w:i w:val="0"/>
            <w:strike w:val="0"/>
            <w:noProof w:val="0"/>
            <w:color w:val="0077CC"/>
            <w:position w:val="0"/>
            <w:sz w:val="20"/>
            <w:u w:val="single"/>
            <w:shd w:val="clear" w:color="auto" w:fill="FFFFFF"/>
            <w:vertAlign w:val="baseline"/>
          </w:rPr>
          <w:t>Regulation X</w:t>
        </w:r>
      </w:hyperlink>
      <w:r>
        <w:rPr>
          <w:rFonts w:ascii="times" w:eastAsia="times" w:hAnsi="times" w:cs="times"/>
          <w:b w:val="0"/>
          <w:i w:val="0"/>
          <w:strike w:val="0"/>
          <w:noProof w:val="0"/>
          <w:color w:val="000000"/>
          <w:position w:val="0"/>
          <w:sz w:val="20"/>
          <w:u w:val="none"/>
          <w:vertAlign w:val="baseline"/>
        </w:rPr>
        <w:t xml:space="preserve">, "allows borrowers to notify mortgage servicers of possible account errors." </w:t>
      </w:r>
      <w:bookmarkStart w:id="15" w:name="Bookmark_I64HXDBS2SF7NY0010000400"/>
      <w:bookmarkEnd w:id="15"/>
      <w:hyperlink r:id="rId13" w:history="1">
        <w:r>
          <w:rPr>
            <w:rFonts w:ascii="times" w:eastAsia="times" w:hAnsi="times" w:cs="times"/>
            <w:b w:val="0"/>
            <w:i/>
            <w:strike w:val="0"/>
            <w:noProof w:val="0"/>
            <w:color w:val="0077CC"/>
            <w:position w:val="0"/>
            <w:sz w:val="20"/>
            <w:u w:val="single"/>
            <w:shd w:val="clear" w:color="auto" w:fill="FFFFFF"/>
            <w:vertAlign w:val="baseline"/>
          </w:rPr>
          <w:t>Finster v. U.S. Bank Nat'l Ass'n</w:t>
        </w:r>
      </w:hyperlink>
      <w:hyperlink r:id="rId13" w:history="1">
        <w:r>
          <w:rPr>
            <w:rFonts w:ascii="times" w:eastAsia="times" w:hAnsi="times" w:cs="times"/>
            <w:b w:val="0"/>
            <w:i w:val="0"/>
            <w:strike w:val="0"/>
            <w:noProof w:val="0"/>
            <w:color w:val="0077CC"/>
            <w:position w:val="0"/>
            <w:sz w:val="20"/>
            <w:u w:val="single"/>
            <w:shd w:val="clear" w:color="auto" w:fill="FFFFFF"/>
            <w:vertAlign w:val="baseline"/>
          </w:rPr>
          <w:t>, 723 F. App'x 877, 878 (11th Cir. 2018)</w:t>
        </w:r>
      </w:hyperlink>
      <w:r>
        <w:rPr>
          <w:rFonts w:ascii="times" w:eastAsia="times" w:hAnsi="times" w:cs="times"/>
          <w:b/>
          <w:i w:val="0"/>
          <w:strike w:val="0"/>
          <w:noProof w:val="0"/>
          <w:color w:val="000000"/>
          <w:position w:val="0"/>
          <w:sz w:val="20"/>
          <w:u w:val="none"/>
          <w:vertAlign w:val="baseline"/>
        </w:rPr>
        <w:t> [*3] </w:t>
      </w:r>
      <w:r>
        <w:rPr>
          <w:rFonts w:ascii="times" w:eastAsia="times" w:hAnsi="times" w:cs="times"/>
          <w:b w:val="0"/>
          <w:i w:val="0"/>
          <w:strike w:val="0"/>
          <w:noProof w:val="0"/>
          <w:color w:val="000000"/>
          <w:position w:val="0"/>
          <w:sz w:val="20"/>
          <w:u w:val="none"/>
          <w:vertAlign w:val="baseline"/>
        </w:rPr>
        <w:t xml:space="preserve">. </w:t>
      </w:r>
      <w:hyperlink r:id="rId11" w:history="1">
        <w:r>
          <w:rPr>
            <w:rFonts w:ascii="times" w:eastAsia="times" w:hAnsi="times" w:cs="times"/>
            <w:b w:val="0"/>
            <w:i w:val="0"/>
            <w:strike w:val="0"/>
            <w:noProof w:val="0"/>
            <w:color w:val="0077CC"/>
            <w:position w:val="0"/>
            <w:sz w:val="20"/>
            <w:u w:val="single"/>
            <w:shd w:val="clear" w:color="auto" w:fill="FFFFFF"/>
            <w:vertAlign w:val="baseline"/>
          </w:rPr>
          <w:t>Regulation X</w:t>
        </w:r>
      </w:hyperlink>
      <w:r>
        <w:rPr>
          <w:rFonts w:ascii="times" w:eastAsia="times" w:hAnsi="times" w:cs="times"/>
          <w:b w:val="0"/>
          <w:i w:val="0"/>
          <w:strike w:val="0"/>
          <w:noProof w:val="0"/>
          <w:color w:val="000000"/>
          <w:position w:val="0"/>
          <w:sz w:val="20"/>
          <w:u w:val="none"/>
          <w:vertAlign w:val="baseline"/>
        </w:rPr>
        <w:t xml:space="preserve"> requires servicers to respond to "any written notice from the borrower that asserts an error and that includes . . . information that enables the servicer to identify the borrower's mortgage loan account, and the error the borrower believes has occurred." </w:t>
      </w:r>
      <w:hyperlink r:id="rId11" w:history="1">
        <w:r>
          <w:rPr>
            <w:rFonts w:ascii="times" w:eastAsia="times" w:hAnsi="times" w:cs="times"/>
            <w:b w:val="0"/>
            <w:i w:val="0"/>
            <w:strike w:val="0"/>
            <w:noProof w:val="0"/>
            <w:color w:val="0077CC"/>
            <w:position w:val="0"/>
            <w:sz w:val="20"/>
            <w:u w:val="single"/>
            <w:shd w:val="clear" w:color="auto" w:fill="FFFFFF"/>
            <w:vertAlign w:val="baseline"/>
          </w:rPr>
          <w:t>12 C.F.R. § 1024.35(a)</w:t>
        </w:r>
      </w:hyperlink>
      <w:r>
        <w:rPr>
          <w:rFonts w:ascii="times" w:eastAsia="times" w:hAnsi="times" w:cs="times"/>
          <w:b w:val="0"/>
          <w:i w:val="0"/>
          <w:strike w:val="0"/>
          <w:noProof w:val="0"/>
          <w:color w:val="000000"/>
          <w:position w:val="0"/>
          <w:sz w:val="20"/>
          <w:u w:val="none"/>
          <w:vertAlign w:val="baseline"/>
        </w:rPr>
        <w:t xml:space="preserve">. However, the Regulation applies only to the "covered errors" listed in </w:t>
      </w:r>
      <w:hyperlink r:id="rId11" w:history="1">
        <w:r>
          <w:rPr>
            <w:rFonts w:ascii="times" w:eastAsia="times" w:hAnsi="times" w:cs="times"/>
            <w:b w:val="0"/>
            <w:i w:val="0"/>
            <w:strike w:val="0"/>
            <w:noProof w:val="0"/>
            <w:color w:val="0077CC"/>
            <w:position w:val="0"/>
            <w:sz w:val="20"/>
            <w:u w:val="single"/>
            <w:shd w:val="clear" w:color="auto" w:fill="FFFFFF"/>
            <w:vertAlign w:val="baseline"/>
          </w:rPr>
          <w:t>§ 1024.35(b)</w:t>
        </w:r>
      </w:hyperlink>
      <w:r>
        <w:rPr>
          <w:rFonts w:ascii="times" w:eastAsia="times" w:hAnsi="times" w:cs="times"/>
          <w:b w:val="0"/>
          <w:i w:val="0"/>
          <w:strike w:val="0"/>
          <w:noProof w:val="0"/>
          <w:color w:val="000000"/>
          <w:position w:val="0"/>
          <w:sz w:val="20"/>
          <w:u w:val="none"/>
          <w:vertAlign w:val="baseline"/>
        </w:rPr>
        <w:t xml:space="preserve">. That provision also contains a catch-all provision (on which this appeal turns) covering "[a]ny other error relating to the servicing of a borrower's mortgage loan . . . ." </w:t>
      </w:r>
      <w:hyperlink r:id="rId11" w:history="1">
        <w:r>
          <w:rPr>
            <w:rFonts w:ascii="times" w:eastAsia="times" w:hAnsi="times" w:cs="times"/>
            <w:b w:val="0"/>
            <w:i w:val="0"/>
            <w:strike w:val="0"/>
            <w:noProof w:val="0"/>
            <w:color w:val="0077CC"/>
            <w:position w:val="0"/>
            <w:sz w:val="20"/>
            <w:u w:val="single"/>
            <w:shd w:val="clear" w:color="auto" w:fill="FFFFFF"/>
            <w:vertAlign w:val="baseline"/>
          </w:rPr>
          <w:t>12 C.F.R. § 1024.35(b)(11)</w:t>
        </w:r>
      </w:hyperlink>
      <w:r>
        <w:rPr>
          <w:rFonts w:ascii="times" w:eastAsia="times" w:hAnsi="times" w:cs="times"/>
          <w:b w:val="0"/>
          <w:i w:val="0"/>
          <w:strike w:val="0"/>
          <w:noProof w:val="0"/>
          <w:color w:val="000000"/>
          <w:position w:val="0"/>
          <w:sz w:val="20"/>
          <w:u w:val="none"/>
          <w:vertAlign w:val="baseline"/>
        </w:rPr>
        <w:t>.</w:t>
      </w:r>
    </w:p>
    <w:p>
      <w:pPr>
        <w:keepNext w:val="0"/>
        <w:widowControl w:val="0"/>
        <w:spacing w:before="240" w:after="0" w:line="260" w:lineRule="atLeast"/>
        <w:ind w:left="0" w:right="0" w:firstLine="0"/>
        <w:jc w:val="both"/>
      </w:pPr>
      <w:bookmarkStart w:id="16" w:name="Bookmark_para_6"/>
      <w:bookmarkEnd w:id="16"/>
      <w:r>
        <w:rPr>
          <w:rFonts w:ascii="times" w:eastAsia="times" w:hAnsi="times" w:cs="times"/>
          <w:b w:val="0"/>
          <w:i w:val="0"/>
          <w:strike w:val="0"/>
          <w:noProof w:val="0"/>
          <w:color w:val="000000"/>
          <w:position w:val="0"/>
          <w:sz w:val="20"/>
          <w:u w:val="none"/>
          <w:vertAlign w:val="baseline"/>
        </w:rPr>
        <w:t xml:space="preserve">After Ocwen denied Naimoli's mortgage-loan modification, Naimoli availed herself of RESPA's remedies by submitting a Notice of Error asserting that "Ocwen's actions, in failing to honor the terms of the [trial period plan] and record the [] mortgage documents, constitute[d] an error in the servicing of the Borrower's loan" pursuant to </w:t>
      </w:r>
      <w:hyperlink r:id="rId11" w:history="1">
        <w:r>
          <w:rPr>
            <w:rFonts w:ascii="times" w:eastAsia="times" w:hAnsi="times" w:cs="times"/>
            <w:b w:val="0"/>
            <w:i w:val="0"/>
            <w:strike w:val="0"/>
            <w:noProof w:val="0"/>
            <w:color w:val="0077CC"/>
            <w:position w:val="0"/>
            <w:sz w:val="20"/>
            <w:u w:val="single"/>
            <w:shd w:val="clear" w:color="auto" w:fill="FFFFFF"/>
            <w:vertAlign w:val="baseline"/>
          </w:rPr>
          <w:t>12 C.F.R. § 1024.35</w:t>
        </w:r>
      </w:hyperlink>
      <w:r>
        <w:rPr>
          <w:rFonts w:ascii="times" w:eastAsia="times" w:hAnsi="times" w:cs="times"/>
          <w:b w:val="0"/>
          <w:i w:val="0"/>
          <w:strike w:val="0"/>
          <w:noProof w:val="0"/>
          <w:color w:val="000000"/>
          <w:position w:val="0"/>
          <w:sz w:val="20"/>
          <w:u w:val="none"/>
          <w:vertAlign w:val="baseline"/>
        </w:rPr>
        <w:t>'s catch-all provision. After Ocwen summarily responded that the denial was valid, Naimoli commenced this action.</w:t>
      </w:r>
    </w:p>
    <w:p>
      <w:pPr>
        <w:keepNext w:val="0"/>
        <w:widowControl w:val="0"/>
        <w:spacing w:before="240" w:after="0" w:line="260" w:lineRule="atLeast"/>
        <w:ind w:left="0" w:right="0" w:firstLine="0"/>
        <w:jc w:val="both"/>
      </w:pPr>
      <w:bookmarkStart w:id="17" w:name="Bookmark_para_7"/>
      <w:bookmarkEnd w:id="17"/>
      <w:r>
        <w:rPr>
          <w:rFonts w:ascii="times" w:eastAsia="times" w:hAnsi="times" w:cs="times"/>
          <w:b w:val="0"/>
          <w:i w:val="0"/>
          <w:strike w:val="0"/>
          <w:noProof w:val="0"/>
          <w:color w:val="000000"/>
          <w:position w:val="0"/>
          <w:sz w:val="20"/>
          <w:u w:val="none"/>
          <w:vertAlign w:val="baseline"/>
        </w:rPr>
        <w:t xml:space="preserve">Naimoli alleged that the errors committed by Ocwen in handling her loan modification documents were errors relating to servicing of a mortgage loan, and, consequently, were subject to the provisions of RESPA and </w:t>
      </w:r>
      <w:hyperlink r:id="rId11" w:history="1">
        <w:r>
          <w:rPr>
            <w:rFonts w:ascii="times" w:eastAsia="times" w:hAnsi="times" w:cs="times"/>
            <w:b w:val="0"/>
            <w:i w:val="0"/>
            <w:strike w:val="0"/>
            <w:noProof w:val="0"/>
            <w:color w:val="0077CC"/>
            <w:position w:val="0"/>
            <w:sz w:val="20"/>
            <w:u w:val="single"/>
            <w:shd w:val="clear" w:color="auto" w:fill="FFFFFF"/>
            <w:vertAlign w:val="baseline"/>
          </w:rPr>
          <w:t>Regulation X</w:t>
        </w:r>
      </w:hyperlink>
      <w:r>
        <w:rPr>
          <w:rFonts w:ascii="times" w:eastAsia="times" w:hAnsi="times" w:cs="times"/>
          <w:b w:val="0"/>
          <w:i w:val="0"/>
          <w:strike w:val="0"/>
          <w:noProof w:val="0"/>
          <w:color w:val="000000"/>
          <w:position w:val="0"/>
          <w:sz w:val="20"/>
          <w:u w:val="none"/>
          <w:vertAlign w:val="baseline"/>
        </w:rPr>
        <w:t xml:space="preserve">. The district court disagreed and granted Ocwen summary judgment. The court concluded that Naimoli's asserted errors challenged the denial of her loan modification, which does not relate to the servicing of the loan and was therefore not a covered error under </w:t>
      </w:r>
      <w:hyperlink r:id="rId11" w:history="1">
        <w:r>
          <w:rPr>
            <w:rFonts w:ascii="times" w:eastAsia="times" w:hAnsi="times" w:cs="times"/>
            <w:b w:val="0"/>
            <w:i w:val="0"/>
            <w:strike w:val="0"/>
            <w:noProof w:val="0"/>
            <w:color w:val="0077CC"/>
            <w:position w:val="0"/>
            <w:sz w:val="20"/>
            <w:u w:val="single"/>
            <w:shd w:val="clear" w:color="auto" w:fill="FFFFFF"/>
            <w:vertAlign w:val="baseline"/>
          </w:rPr>
          <w:t>12 C.F.R. § 1024.35(b)(11)</w:t>
        </w:r>
      </w:hyperlink>
      <w:r>
        <w:rPr>
          <w:rFonts w:ascii="times" w:eastAsia="times" w:hAnsi="times" w:cs="times"/>
          <w:b w:val="0"/>
          <w:i w:val="0"/>
          <w:strike w:val="0"/>
          <w:noProof w:val="0"/>
          <w:color w:val="000000"/>
          <w:position w:val="0"/>
          <w:sz w:val="20"/>
          <w:u w:val="none"/>
          <w:vertAlign w:val="baseline"/>
        </w:rPr>
        <w:t>.</w:t>
      </w:r>
    </w:p>
    <w:p>
      <w:pPr>
        <w:keepNext w:val="0"/>
        <w:widowControl w:val="0"/>
        <w:spacing w:before="200" w:after="0" w:line="260" w:lineRule="atLeast"/>
        <w:ind w:left="0" w:right="0" w:firstLine="0"/>
        <w:jc w:val="both"/>
      </w:pPr>
      <w:bookmarkStart w:id="18" w:name="Bookmark_para_8"/>
      <w:bookmarkEnd w:id="18"/>
      <w:r>
        <w:rPr>
          <w:rFonts w:ascii="times" w:eastAsia="times" w:hAnsi="times" w:cs="times"/>
          <w:b w:val="0"/>
          <w:i w:val="0"/>
          <w:strike w:val="0"/>
          <w:noProof w:val="0"/>
          <w:color w:val="000000"/>
          <w:position w:val="0"/>
          <w:sz w:val="20"/>
          <w:u w:val="none"/>
          <w:vertAlign w:val="baseline"/>
        </w:rPr>
        <w:t xml:space="preserve">This appeal followed. The dispositive issue is whether the errors listed in Naimoli's notice of error fall under </w:t>
      </w:r>
      <w:hyperlink r:id="rId11" w:history="1">
        <w:r>
          <w:rPr>
            <w:rFonts w:ascii="times" w:eastAsia="times" w:hAnsi="times" w:cs="times"/>
            <w:b w:val="0"/>
            <w:i w:val="0"/>
            <w:strike w:val="0"/>
            <w:noProof w:val="0"/>
            <w:color w:val="0077CC"/>
            <w:position w:val="0"/>
            <w:sz w:val="20"/>
            <w:u w:val="single"/>
            <w:shd w:val="clear" w:color="auto" w:fill="FFFFFF"/>
            <w:vertAlign w:val="baseline"/>
          </w:rPr>
          <w:t>12 C.F.R. § 1024.35</w:t>
        </w:r>
      </w:hyperlink>
      <w:r>
        <w:rPr>
          <w:rFonts w:ascii="times" w:eastAsia="times" w:hAnsi="times" w:cs="times"/>
          <w:b w:val="0"/>
          <w:i w:val="0"/>
          <w:strike w:val="0"/>
          <w:noProof w:val="0"/>
          <w:color w:val="000000"/>
          <w:position w:val="0"/>
          <w:sz w:val="20"/>
          <w:u w:val="none"/>
          <w:vertAlign w:val="baseline"/>
        </w:rPr>
        <w:t xml:space="preserve">'s catch-all provision. We hold that the text of the catch-all provision of </w:t>
      </w:r>
      <w:hyperlink r:id="rId11" w:history="1">
        <w:r>
          <w:rPr>
            <w:rFonts w:ascii="times" w:eastAsia="times" w:hAnsi="times" w:cs="times"/>
            <w:b w:val="0"/>
            <w:i w:val="0"/>
            <w:strike w:val="0"/>
            <w:noProof w:val="0"/>
            <w:color w:val="0077CC"/>
            <w:position w:val="0"/>
            <w:sz w:val="20"/>
            <w:u w:val="single"/>
            <w:shd w:val="clear" w:color="auto" w:fill="FFFFFF"/>
            <w:vertAlign w:val="baseline"/>
          </w:rPr>
          <w:t>Regulation X</w:t>
        </w:r>
      </w:hyperlink>
      <w:r>
        <w:rPr>
          <w:rFonts w:ascii="times" w:eastAsia="times" w:hAnsi="times" w:cs="times"/>
          <w:b w:val="0"/>
          <w:i w:val="0"/>
          <w:strike w:val="0"/>
          <w:noProof w:val="0"/>
          <w:color w:val="000000"/>
          <w:position w:val="0"/>
          <w:sz w:val="20"/>
          <w:u w:val="none"/>
          <w:vertAlign w:val="baseline"/>
        </w:rPr>
        <w:t>, which includes the terms "any other errors" and "relating to," is sufficiently expansive</w:t>
      </w:r>
      <w:r>
        <w:rPr>
          <w:rFonts w:ascii="times" w:eastAsia="times" w:hAnsi="times" w:cs="times"/>
          <w:b/>
          <w:i w:val="0"/>
          <w:strike w:val="0"/>
          <w:noProof w:val="0"/>
          <w:color w:val="000000"/>
          <w:position w:val="0"/>
          <w:sz w:val="20"/>
          <w:u w:val="none"/>
          <w:vertAlign w:val="baseline"/>
        </w:rPr>
        <w:t> [*4] </w:t>
      </w:r>
      <w:r>
        <w:rPr>
          <w:rFonts w:ascii="times" w:eastAsia="times" w:hAnsi="times" w:cs="times"/>
          <w:b w:val="0"/>
          <w:i w:val="0"/>
          <w:strike w:val="0"/>
          <w:noProof w:val="0"/>
          <w:color w:val="000000"/>
          <w:position w:val="0"/>
          <w:sz w:val="20"/>
          <w:u w:val="none"/>
          <w:vertAlign w:val="baseline"/>
        </w:rPr>
        <w:t xml:space="preserve"> to cover the errors Naimoli asserts. Accordingly, we reverse and remand for further proceedings.</w:t>
      </w:r>
    </w:p>
    <w:p>
      <w:pPr>
        <w:keepNext w:val="0"/>
        <w:widowControl w:val="0"/>
        <w:spacing w:before="240" w:after="0" w:line="260" w:lineRule="atLeast"/>
        <w:ind w:left="0" w:right="0" w:firstLine="0"/>
        <w:jc w:val="left"/>
      </w:pPr>
      <w:r>
        <w:br/>
      </w:r>
      <w:r>
        <w:rPr>
          <w:rFonts w:ascii="times" w:eastAsia="times" w:hAnsi="times" w:cs="times"/>
          <w:b/>
          <w:i w:val="0"/>
          <w:strike w:val="0"/>
          <w:noProof w:val="0"/>
          <w:color w:val="000000"/>
          <w:position w:val="0"/>
          <w:sz w:val="20"/>
          <w:u w:val="none"/>
          <w:vertAlign w:val="baseline"/>
        </w:rPr>
        <w:t>BACKGROUND</w:t>
      </w:r>
    </w:p>
    <w:p>
      <w:pPr>
        <w:keepNext w:val="0"/>
        <w:widowControl w:val="0"/>
        <w:spacing w:before="200" w:after="0" w:line="260" w:lineRule="atLeast"/>
        <w:ind w:left="0" w:right="0" w:firstLine="0"/>
        <w:jc w:val="both"/>
      </w:pPr>
      <w:bookmarkStart w:id="19" w:name="Bookmark_para_9"/>
      <w:bookmarkEnd w:id="19"/>
      <w:r>
        <w:rPr>
          <w:rFonts w:ascii="times" w:eastAsia="times" w:hAnsi="times" w:cs="times"/>
          <w:b w:val="0"/>
          <w:i w:val="0"/>
          <w:strike w:val="0"/>
          <w:noProof w:val="0"/>
          <w:color w:val="000000"/>
          <w:position w:val="0"/>
          <w:sz w:val="20"/>
          <w:u w:val="none"/>
          <w:vertAlign w:val="baseline"/>
        </w:rPr>
        <w:t>Naimoli executed the mortgage at issue on June 25, 2008, in favor of IndyMac Bank, F.S.B., which secured payment of a consolidated note in the amount of $227,100. The 2008 Mortgage was also subject to a Consolidation, Extension and Modification Agreement (the "CEMA," and together with the 2008 Mortgage and Consolidated Note, the "Mortgage Loan"), which consolidated the two existing loans and related mortgages that encumbered property located at 827 South Main Street, Geneva, New York:</w:t>
      </w:r>
    </w:p>
    <w:p>
      <w:pPr>
        <w:keepNext w:val="0"/>
        <w:widowControl w:val="0"/>
        <w:spacing w:after="0" w:line="260" w:lineRule="atLeast"/>
        <w:ind w:left="400" w:right="0" w:firstLine="0"/>
        <w:jc w:val="both"/>
      </w:pPr>
      <w:bookmarkStart w:id="20" w:name="Bookmark_para_10"/>
      <w:bookmarkEnd w:id="20"/>
      <w:r>
        <w:rPr>
          <w:rFonts w:ascii="times" w:eastAsia="times" w:hAnsi="times" w:cs="times"/>
          <w:b w:val="0"/>
          <w:i w:val="0"/>
          <w:strike w:val="0"/>
          <w:noProof w:val="0"/>
          <w:color w:val="000000"/>
          <w:position w:val="0"/>
          <w:sz w:val="20"/>
          <w:u w:val="none"/>
          <w:vertAlign w:val="baseline"/>
        </w:rPr>
        <w:t>a. A mortgage dated July 23, 2002, executed by Naimoli in favor of Coral Mortgage Inc. (the "2002 Mortgage") that secured payment of a note in the amount of $253,5000; and</w:t>
      </w:r>
    </w:p>
    <w:p>
      <w:pPr>
        <w:keepNext w:val="0"/>
        <w:widowControl w:val="0"/>
        <w:spacing w:after="0" w:line="260" w:lineRule="atLeast"/>
        <w:ind w:left="400" w:right="0" w:firstLine="0"/>
        <w:jc w:val="both"/>
      </w:pPr>
      <w:bookmarkStart w:id="21" w:name="Bookmark_para_11"/>
      <w:bookmarkEnd w:id="21"/>
      <w:r>
        <w:rPr>
          <w:rFonts w:ascii="times" w:eastAsia="times" w:hAnsi="times" w:cs="times"/>
          <w:b w:val="0"/>
          <w:i w:val="0"/>
          <w:strike w:val="0"/>
          <w:noProof w:val="0"/>
          <w:color w:val="000000"/>
          <w:position w:val="0"/>
          <w:sz w:val="20"/>
          <w:u w:val="none"/>
          <w:vertAlign w:val="baseline"/>
        </w:rPr>
        <w:t>b. A mortgage dated June 25, 2008, executed by Naimoli in favor of IndyMac (the "Gap Mortgage") that secured payment of a note in the amount of $2,875.49.</w:t>
      </w:r>
    </w:p>
    <w:p>
      <w:pPr>
        <w:keepNext w:val="0"/>
        <w:widowControl w:val="0"/>
        <w:spacing w:after="0" w:line="260" w:lineRule="atLeast"/>
        <w:ind w:left="0" w:right="0" w:firstLine="0"/>
        <w:jc w:val="both"/>
      </w:pPr>
      <w:r>
        <w:rPr>
          <w:rFonts w:ascii="times" w:eastAsia="times" w:hAnsi="times" w:cs="times"/>
          <w:b w:val="0"/>
          <w:i w:val="0"/>
          <w:strike w:val="0"/>
          <w:noProof w:val="0"/>
          <w:color w:val="000000"/>
          <w:position w:val="0"/>
          <w:sz w:val="20"/>
          <w:u w:val="none"/>
          <w:vertAlign w:val="baseline"/>
        </w:rPr>
        <w:t>IndyMac Bank failed to record the Gap Mortgage, the CEMA, and the 2008 Mortgage at the time of their executions. In September 2013, IndyMac transferred the servicing of the Mortgage Loan to Ocwen.</w:t>
      </w:r>
    </w:p>
    <w:p>
      <w:pPr>
        <w:keepNext w:val="0"/>
        <w:widowControl w:val="0"/>
        <w:spacing w:before="240" w:after="0" w:line="260" w:lineRule="atLeast"/>
        <w:ind w:left="0" w:right="0" w:firstLine="0"/>
        <w:jc w:val="both"/>
      </w:pPr>
      <w:bookmarkStart w:id="22" w:name="Bookmark_para_12"/>
      <w:bookmarkEnd w:id="22"/>
      <w:r>
        <w:rPr>
          <w:rFonts w:ascii="times" w:eastAsia="times" w:hAnsi="times" w:cs="times"/>
          <w:b w:val="0"/>
          <w:i w:val="0"/>
          <w:strike w:val="0"/>
          <w:noProof w:val="0"/>
          <w:color w:val="000000"/>
          <w:position w:val="0"/>
          <w:sz w:val="20"/>
          <w:u w:val="none"/>
          <w:vertAlign w:val="baseline"/>
        </w:rPr>
        <w:t>In 2010, Naimoli defaulted on her loan. In order to avoid foreclosure, she requested</w:t>
      </w:r>
      <w:r>
        <w:rPr>
          <w:rFonts w:ascii="times" w:eastAsia="times" w:hAnsi="times" w:cs="times"/>
          <w:b/>
          <w:i w:val="0"/>
          <w:strike w:val="0"/>
          <w:noProof w:val="0"/>
          <w:color w:val="000000"/>
          <w:position w:val="0"/>
          <w:sz w:val="20"/>
          <w:u w:val="none"/>
          <w:vertAlign w:val="baseline"/>
        </w:rPr>
        <w:t> [*5] </w:t>
      </w:r>
      <w:r>
        <w:rPr>
          <w:rFonts w:ascii="times" w:eastAsia="times" w:hAnsi="times" w:cs="times"/>
          <w:b w:val="0"/>
          <w:i w:val="0"/>
          <w:strike w:val="0"/>
          <w:noProof w:val="0"/>
          <w:color w:val="000000"/>
          <w:position w:val="0"/>
          <w:sz w:val="20"/>
          <w:u w:val="none"/>
          <w:vertAlign w:val="baseline"/>
        </w:rPr>
        <w:t xml:space="preserve"> a loan modification under the Home Affordable Modification Program ("HAMP"). HAMP was part of the Emergency Economic Stabilization Act of 2008 ("EESA"), which Congress enacted in response to the 2008 economic crisis. Pub. L. No. 110-343, 122 Stat. 3765 (codified as amended at </w:t>
      </w:r>
      <w:hyperlink r:id="rId14" w:history="1">
        <w:r>
          <w:rPr>
            <w:rFonts w:ascii="times" w:eastAsia="times" w:hAnsi="times" w:cs="times"/>
            <w:b w:val="0"/>
            <w:i w:val="0"/>
            <w:strike w:val="0"/>
            <w:noProof w:val="0"/>
            <w:color w:val="0077CC"/>
            <w:position w:val="0"/>
            <w:sz w:val="20"/>
            <w:u w:val="single"/>
            <w:shd w:val="clear" w:color="auto" w:fill="FFFFFF"/>
            <w:vertAlign w:val="baseline"/>
          </w:rPr>
          <w:t>12 U.S.C. §§ 5201-5261</w:t>
        </w:r>
      </w:hyperlink>
      <w:r>
        <w:rPr>
          <w:rFonts w:ascii="times" w:eastAsia="times" w:hAnsi="times" w:cs="times"/>
          <w:b w:val="0"/>
          <w:i w:val="0"/>
          <w:strike w:val="0"/>
          <w:noProof w:val="0"/>
          <w:color w:val="000000"/>
          <w:position w:val="0"/>
          <w:sz w:val="20"/>
          <w:u w:val="none"/>
          <w:vertAlign w:val="baseline"/>
        </w:rPr>
        <w:t xml:space="preserve">). </w:t>
      </w:r>
      <w:bookmarkStart w:id="23" w:name="Bookmark_I64HXDBS2SF7NY0040000400"/>
      <w:bookmarkEnd w:id="23"/>
      <w:r>
        <w:rPr>
          <w:rFonts w:ascii="times" w:eastAsia="times" w:hAnsi="times" w:cs="times"/>
          <w:b w:val="0"/>
          <w:i w:val="0"/>
          <w:strike w:val="0"/>
          <w:noProof w:val="0"/>
          <w:color w:val="000000"/>
          <w:position w:val="0"/>
          <w:sz w:val="20"/>
          <w:u w:val="none"/>
          <w:vertAlign w:val="baseline"/>
        </w:rPr>
        <w:t xml:space="preserve">The EESA authorized the Secretary of the Treasury to establish the Troubled Asset Relief Program ("TARP"). </w:t>
      </w:r>
      <w:hyperlink r:id="rId15" w:history="1">
        <w:r>
          <w:rPr>
            <w:rFonts w:ascii="times" w:eastAsia="times" w:hAnsi="times" w:cs="times"/>
            <w:b w:val="0"/>
            <w:i w:val="0"/>
            <w:strike w:val="0"/>
            <w:noProof w:val="0"/>
            <w:color w:val="0077CC"/>
            <w:position w:val="0"/>
            <w:sz w:val="20"/>
            <w:u w:val="single"/>
            <w:shd w:val="clear" w:color="auto" w:fill="FFFFFF"/>
            <w:vertAlign w:val="baseline"/>
          </w:rPr>
          <w:t>12 U.S.C. § 5219(a)(1)</w:t>
        </w:r>
      </w:hyperlink>
      <w:r>
        <w:rPr>
          <w:rFonts w:ascii="times" w:eastAsia="times" w:hAnsi="times" w:cs="times"/>
          <w:b w:val="0"/>
          <w:i w:val="0"/>
          <w:strike w:val="0"/>
          <w:noProof w:val="0"/>
          <w:color w:val="000000"/>
          <w:position w:val="0"/>
          <w:sz w:val="20"/>
          <w:u w:val="none"/>
          <w:vertAlign w:val="baseline"/>
        </w:rPr>
        <w:t xml:space="preserve">. TARP directed the Secretary of the Treasury to "implement a plan that seeks to maximize assistance for homeowners" and allowed the Secretary to "use loan guarantees and credit enhancements to facilitate loan modifications to prevent avoidable foreclosures." </w:t>
      </w:r>
      <w:r>
        <w:rPr>
          <w:rFonts w:ascii="times" w:eastAsia="times" w:hAnsi="times" w:cs="times"/>
          <w:b w:val="0"/>
          <w:i/>
          <w:strike w:val="0"/>
          <w:noProof w:val="0"/>
          <w:color w:val="000000"/>
          <w:position w:val="0"/>
          <w:sz w:val="20"/>
          <w:u w:val="none"/>
          <w:vertAlign w:val="baseline"/>
        </w:rPr>
        <w:t>Id.</w:t>
      </w:r>
      <w:r>
        <w:rPr>
          <w:rFonts w:ascii="times" w:eastAsia="times" w:hAnsi="times" w:cs="times"/>
          <w:b w:val="0"/>
          <w:i w:val="0"/>
          <w:strike w:val="0"/>
          <w:noProof w:val="0"/>
          <w:color w:val="000000"/>
          <w:position w:val="0"/>
          <w:sz w:val="20"/>
          <w:u w:val="none"/>
          <w:vertAlign w:val="baseline"/>
        </w:rPr>
        <w:t xml:space="preserve"> Under this authority, the Department of the Treasury announced the "Making Home Affordable Program," which included HAMP. HAMP was aimed at helping homeowners who were in, or were at immediate risk of being in, default on their home loans by reducing monthly payments to sustainable levels. </w:t>
      </w:r>
      <w:r>
        <w:rPr>
          <w:rFonts w:ascii="times" w:eastAsia="times" w:hAnsi="times" w:cs="times"/>
          <w:b w:val="0"/>
          <w:i/>
          <w:strike w:val="0"/>
          <w:noProof w:val="0"/>
          <w:color w:val="000000"/>
          <w:position w:val="0"/>
          <w:sz w:val="20"/>
          <w:u w:val="none"/>
          <w:vertAlign w:val="baseline"/>
        </w:rPr>
        <w:t xml:space="preserve">See </w:t>
      </w:r>
      <w:bookmarkStart w:id="24" w:name="Bookmark_I64HXDBS2SF7NY0030000400"/>
      <w:bookmarkEnd w:id="24"/>
      <w:hyperlink r:id="rId16" w:history="1">
        <w:r>
          <w:rPr>
            <w:rFonts w:ascii="times" w:eastAsia="times" w:hAnsi="times" w:cs="times"/>
            <w:b w:val="0"/>
            <w:i/>
            <w:strike w:val="0"/>
            <w:noProof w:val="0"/>
            <w:color w:val="0077CC"/>
            <w:position w:val="0"/>
            <w:sz w:val="20"/>
            <w:u w:val="single"/>
            <w:shd w:val="clear" w:color="auto" w:fill="FFFFFF"/>
            <w:vertAlign w:val="baseline"/>
          </w:rPr>
          <w:t>Thomas v. JPMorgan Chase &amp; Co.</w:t>
        </w:r>
      </w:hyperlink>
      <w:hyperlink r:id="rId16" w:history="1">
        <w:r>
          <w:rPr>
            <w:rFonts w:ascii="times" w:eastAsia="times" w:hAnsi="times" w:cs="times"/>
            <w:b w:val="0"/>
            <w:i w:val="0"/>
            <w:strike w:val="0"/>
            <w:noProof w:val="0"/>
            <w:color w:val="0077CC"/>
            <w:position w:val="0"/>
            <w:sz w:val="20"/>
            <w:u w:val="single"/>
            <w:shd w:val="clear" w:color="auto" w:fill="FFFFFF"/>
            <w:vertAlign w:val="baseline"/>
          </w:rPr>
          <w:t>, 811 F. Supp. 2d 781, 786-87 (S.D.N.Y. 2011)</w:t>
        </w:r>
      </w:hyperlink>
      <w:r>
        <w:rPr>
          <w:rFonts w:ascii="times" w:eastAsia="times" w:hAnsi="times" w:cs="times"/>
          <w:b w:val="0"/>
          <w:i w:val="0"/>
          <w:strike w:val="0"/>
          <w:noProof w:val="0"/>
          <w:color w:val="000000"/>
          <w:position w:val="0"/>
          <w:sz w:val="20"/>
          <w:u w:val="none"/>
          <w:vertAlign w:val="baseline"/>
        </w:rPr>
        <w:t>.</w:t>
      </w:r>
    </w:p>
    <w:p>
      <w:pPr>
        <w:keepNext w:val="0"/>
        <w:widowControl w:val="0"/>
        <w:spacing w:before="200" w:after="0" w:line="260" w:lineRule="atLeast"/>
        <w:ind w:left="0" w:right="0" w:firstLine="0"/>
        <w:jc w:val="both"/>
      </w:pPr>
      <w:bookmarkStart w:id="25" w:name="Bookmark_para_13"/>
      <w:bookmarkEnd w:id="25"/>
      <w:r>
        <w:rPr>
          <w:rFonts w:ascii="times" w:eastAsia="times" w:hAnsi="times" w:cs="times"/>
          <w:b w:val="0"/>
          <w:i w:val="0"/>
          <w:strike w:val="0"/>
          <w:noProof w:val="0"/>
          <w:color w:val="000000"/>
          <w:position w:val="0"/>
          <w:sz w:val="20"/>
          <w:u w:val="none"/>
          <w:vertAlign w:val="baseline"/>
        </w:rPr>
        <w:t>Ocwen advised Naimoli that she was approved for a HAMP Trial Period Plan (the "HAMP TPP"). Through the TPP, Ocwen approved Naimoli for a three-month Trial Modification Plan with a new, lower mortgage payment of $2,818.40 and advised Naimoli that "if you successfully complete the [TPP] by</w:t>
      </w:r>
      <w:r>
        <w:rPr>
          <w:rFonts w:ascii="times" w:eastAsia="times" w:hAnsi="times" w:cs="times"/>
          <w:b/>
          <w:i w:val="0"/>
          <w:strike w:val="0"/>
          <w:noProof w:val="0"/>
          <w:color w:val="000000"/>
          <w:position w:val="0"/>
          <w:sz w:val="20"/>
          <w:u w:val="none"/>
          <w:vertAlign w:val="baseline"/>
        </w:rPr>
        <w:t> [*6] </w:t>
      </w:r>
      <w:r>
        <w:rPr>
          <w:rFonts w:ascii="times" w:eastAsia="times" w:hAnsi="times" w:cs="times"/>
          <w:b w:val="0"/>
          <w:i w:val="0"/>
          <w:strike w:val="0"/>
          <w:noProof w:val="0"/>
          <w:color w:val="000000"/>
          <w:position w:val="0"/>
          <w:sz w:val="20"/>
          <w:u w:val="none"/>
          <w:vertAlign w:val="baseline"/>
        </w:rPr>
        <w:t xml:space="preserve"> making the required payments, you will receive a modification with an interest rate of 3.50000%, which will be fixed for 40 years from the date the modification is effective." The TPP otherwise indicated that if Naimoli timely submitted her three payments, Ocwen would issue a permanent modification agreement for her execution. However, during the trial period, Ocwen told Naimoli that it could not implement the permanent modification agreement until the CEMA, the Gap Mortgage, the 2008 Mortgage, and the Consolidated Note (the documents that IndyMac failed to record) were re-executed and recorded.</w:t>
      </w:r>
    </w:p>
    <w:p>
      <w:pPr>
        <w:keepNext w:val="0"/>
        <w:widowControl w:val="0"/>
        <w:spacing w:before="200" w:after="0" w:line="260" w:lineRule="atLeast"/>
        <w:ind w:left="0" w:right="0" w:firstLine="0"/>
        <w:jc w:val="both"/>
      </w:pPr>
      <w:bookmarkStart w:id="26" w:name="Bookmark_para_14"/>
      <w:bookmarkEnd w:id="26"/>
      <w:r>
        <w:rPr>
          <w:rFonts w:ascii="times" w:eastAsia="times" w:hAnsi="times" w:cs="times"/>
          <w:b w:val="0"/>
          <w:i w:val="0"/>
          <w:strike w:val="0"/>
          <w:noProof w:val="0"/>
          <w:color w:val="000000"/>
          <w:position w:val="0"/>
          <w:sz w:val="20"/>
          <w:u w:val="none"/>
          <w:vertAlign w:val="baseline"/>
        </w:rPr>
        <w:t>On December 3, 2015, Ocwen sent instructions and unexecuted copies of the documents to Naimoli for re-execution. Naimoli properly executed them and returned them to Ocwen on August 12, 2016. Counsel for Naimoli attempted to confirm Ocwen's receipt of the package on multiple occasions between August 17 and August 29, 2016. On September 2, 2016, Ocwen responded that it would re-issue yet another set of the documents for Naimoli to sign. Contrary to its promise, Ocwen never sent the documents for re-execution. Nevertheless, Naimoli fully complied with the terms of the TPP.</w:t>
      </w:r>
    </w:p>
    <w:p>
      <w:pPr>
        <w:keepNext w:val="0"/>
        <w:widowControl w:val="0"/>
        <w:spacing w:before="200" w:after="0" w:line="260" w:lineRule="atLeast"/>
        <w:ind w:left="0" w:right="0" w:firstLine="0"/>
        <w:jc w:val="both"/>
      </w:pPr>
      <w:bookmarkStart w:id="27" w:name="Bookmark_para_15"/>
      <w:bookmarkEnd w:id="27"/>
      <w:r>
        <w:rPr>
          <w:rFonts w:ascii="times" w:eastAsia="times" w:hAnsi="times" w:cs="times"/>
          <w:b w:val="0"/>
          <w:i w:val="0"/>
          <w:strike w:val="0"/>
          <w:noProof w:val="0"/>
          <w:color w:val="000000"/>
          <w:position w:val="0"/>
          <w:sz w:val="20"/>
          <w:u w:val="none"/>
          <w:vertAlign w:val="baseline"/>
        </w:rPr>
        <w:t>On October 31, 2016, Ocwen</w:t>
      </w:r>
      <w:r>
        <w:rPr>
          <w:rFonts w:ascii="times" w:eastAsia="times" w:hAnsi="times" w:cs="times"/>
          <w:b/>
          <w:i w:val="0"/>
          <w:strike w:val="0"/>
          <w:noProof w:val="0"/>
          <w:color w:val="000000"/>
          <w:position w:val="0"/>
          <w:sz w:val="20"/>
          <w:u w:val="none"/>
          <w:vertAlign w:val="baseline"/>
        </w:rPr>
        <w:t> [*7] </w:t>
      </w:r>
      <w:r>
        <w:rPr>
          <w:rFonts w:ascii="times" w:eastAsia="times" w:hAnsi="times" w:cs="times"/>
          <w:b w:val="0"/>
          <w:i w:val="0"/>
          <w:strike w:val="0"/>
          <w:noProof w:val="0"/>
          <w:color w:val="000000"/>
          <w:position w:val="0"/>
          <w:sz w:val="20"/>
          <w:u w:val="none"/>
          <w:vertAlign w:val="baseline"/>
        </w:rPr>
        <w:t xml:space="preserve"> wrote Naimoli stating that it had identified issues during the title search that might prevent them from implementing the modification but that she should "continue making the monthly payments outlined in the modification agreement." The reason for the title issue was that Ocwen had failed to record the documents it had committed to record. Naimoli explained that Ocwen had already received the executed Requested Instruments on August 12, 2016, and she provided Ocwen with UPS records verifying their delivery.</w:t>
      </w:r>
    </w:p>
    <w:p>
      <w:pPr>
        <w:keepNext w:val="0"/>
        <w:widowControl w:val="0"/>
        <w:spacing w:before="200" w:after="0" w:line="260" w:lineRule="atLeast"/>
        <w:ind w:left="0" w:right="0" w:firstLine="0"/>
        <w:jc w:val="both"/>
      </w:pPr>
      <w:bookmarkStart w:id="28" w:name="Bookmark_para_16"/>
      <w:bookmarkEnd w:id="28"/>
      <w:r>
        <w:rPr>
          <w:rFonts w:ascii="times" w:eastAsia="times" w:hAnsi="times" w:cs="times"/>
          <w:b w:val="0"/>
          <w:i w:val="0"/>
          <w:strike w:val="0"/>
          <w:noProof w:val="0"/>
          <w:color w:val="000000"/>
          <w:position w:val="0"/>
          <w:sz w:val="20"/>
          <w:u w:val="none"/>
          <w:vertAlign w:val="baseline"/>
        </w:rPr>
        <w:t>In December 2016, Ocwen notified Naimoli that she was no longer eligible for the loan modification. In January 2017, Naimoli appealed the denial of the loan modification, contending that Ocwen had received the original documents that needed to be recorded and that they had not been recorded because Ocwen had refused to pay the required recording fees. Ocwen denied the appeal (citing the loan title issues) and in March began rejecting Naimoli's modification payments.</w:t>
      </w:r>
    </w:p>
    <w:p>
      <w:pPr>
        <w:keepNext w:val="0"/>
        <w:widowControl w:val="0"/>
        <w:spacing w:before="200" w:after="0" w:line="260" w:lineRule="atLeast"/>
        <w:ind w:left="0" w:right="0" w:firstLine="0"/>
        <w:jc w:val="both"/>
      </w:pPr>
      <w:bookmarkStart w:id="29" w:name="Bookmark_para_17"/>
      <w:bookmarkEnd w:id="29"/>
      <w:r>
        <w:rPr>
          <w:rFonts w:ascii="times" w:eastAsia="times" w:hAnsi="times" w:cs="times"/>
          <w:b w:val="0"/>
          <w:i w:val="0"/>
          <w:strike w:val="0"/>
          <w:noProof w:val="0"/>
          <w:color w:val="000000"/>
          <w:position w:val="0"/>
          <w:sz w:val="20"/>
          <w:u w:val="none"/>
          <w:vertAlign w:val="baseline"/>
        </w:rPr>
        <w:t xml:space="preserve">In December 2017, Naimoli sent Ocwen a notice of error pursuant to </w:t>
      </w:r>
      <w:hyperlink r:id="rId11" w:history="1">
        <w:r>
          <w:rPr>
            <w:rFonts w:ascii="times" w:eastAsia="times" w:hAnsi="times" w:cs="times"/>
            <w:b w:val="0"/>
            <w:i w:val="0"/>
            <w:strike w:val="0"/>
            <w:noProof w:val="0"/>
            <w:color w:val="0077CC"/>
            <w:position w:val="0"/>
            <w:sz w:val="20"/>
            <w:u w:val="single"/>
            <w:shd w:val="clear" w:color="auto" w:fill="FFFFFF"/>
            <w:vertAlign w:val="baseline"/>
          </w:rPr>
          <w:t>12 C.F.R. § 1024.35(b)(11)</w:t>
        </w:r>
      </w:hyperlink>
      <w:r>
        <w:rPr>
          <w:rFonts w:ascii="times" w:eastAsia="times" w:hAnsi="times" w:cs="times"/>
          <w:b w:val="0"/>
          <w:i w:val="0"/>
          <w:strike w:val="0"/>
          <w:noProof w:val="0"/>
          <w:color w:val="000000"/>
          <w:position w:val="0"/>
          <w:sz w:val="20"/>
          <w:u w:val="none"/>
          <w:vertAlign w:val="baseline"/>
        </w:rPr>
        <w:t xml:space="preserve"> ("NOE"). The NOE requested that the Ocwen correct errors related to Naimoli's mortgage loan account. The NOE asserted that Ocwen: (1) failed to provide</w:t>
      </w:r>
      <w:r>
        <w:rPr>
          <w:rFonts w:ascii="times" w:eastAsia="times" w:hAnsi="times" w:cs="times"/>
          <w:b/>
          <w:i w:val="0"/>
          <w:strike w:val="0"/>
          <w:noProof w:val="0"/>
          <w:color w:val="000000"/>
          <w:position w:val="0"/>
          <w:sz w:val="20"/>
          <w:u w:val="none"/>
          <w:vertAlign w:val="baseline"/>
        </w:rPr>
        <w:t> [*8] </w:t>
      </w:r>
      <w:r>
        <w:rPr>
          <w:rFonts w:ascii="times" w:eastAsia="times" w:hAnsi="times" w:cs="times"/>
          <w:b w:val="0"/>
          <w:i w:val="0"/>
          <w:strike w:val="0"/>
          <w:noProof w:val="0"/>
          <w:color w:val="000000"/>
          <w:position w:val="0"/>
          <w:sz w:val="20"/>
          <w:u w:val="none"/>
          <w:vertAlign w:val="baseline"/>
        </w:rPr>
        <w:t xml:space="preserve"> Naimoli with the promised permanent loan modification despite Naimoli having accepted the offer, (2) neglected to record the documents it had received over a year earlier, and (3) wrongfully rejected Naimoli's February 2017 payment. Ocwen responded that it was "currently in the process of resolving th[e] title issue" and that the loan modification denial was valid.</w:t>
      </w:r>
    </w:p>
    <w:p>
      <w:pPr>
        <w:keepNext w:val="0"/>
        <w:widowControl w:val="0"/>
        <w:spacing w:before="200" w:after="0" w:line="260" w:lineRule="atLeast"/>
        <w:ind w:left="0" w:right="0" w:firstLine="0"/>
        <w:jc w:val="both"/>
      </w:pPr>
      <w:bookmarkStart w:id="30" w:name="Bookmark_para_18"/>
      <w:bookmarkEnd w:id="30"/>
      <w:r>
        <w:rPr>
          <w:rFonts w:ascii="times" w:eastAsia="times" w:hAnsi="times" w:cs="times"/>
          <w:b w:val="0"/>
          <w:i w:val="0"/>
          <w:strike w:val="0"/>
          <w:noProof w:val="0"/>
          <w:color w:val="000000"/>
          <w:position w:val="0"/>
          <w:sz w:val="20"/>
          <w:u w:val="none"/>
          <w:vertAlign w:val="baseline"/>
        </w:rPr>
        <w:t xml:space="preserve">Naimoli then sued Ocwen, alleging violations of RESPA and asserting various state law causes of action as well. Ocwen moved for summary judgment and the district court granted the motion. The district court held that errors in evaluation of loss mitigation options are not covered errors under Regulation X's catch-all provision, and that the errors Naimoli relied on were essentially challenges to the denial of her loan modification, which are not covered by RESPA or </w:t>
      </w:r>
      <w:hyperlink r:id="rId11" w:history="1">
        <w:r>
          <w:rPr>
            <w:rFonts w:ascii="times" w:eastAsia="times" w:hAnsi="times" w:cs="times"/>
            <w:b w:val="0"/>
            <w:i w:val="0"/>
            <w:strike w:val="0"/>
            <w:noProof w:val="0"/>
            <w:color w:val="0077CC"/>
            <w:position w:val="0"/>
            <w:sz w:val="20"/>
            <w:u w:val="single"/>
            <w:shd w:val="clear" w:color="auto" w:fill="FFFFFF"/>
            <w:vertAlign w:val="baseline"/>
          </w:rPr>
          <w:t>Regulation X</w:t>
        </w:r>
      </w:hyperlink>
      <w:r>
        <w:rPr>
          <w:rFonts w:ascii="times" w:eastAsia="times" w:hAnsi="times" w:cs="times"/>
          <w:b w:val="0"/>
          <w:i w:val="0"/>
          <w:strike w:val="0"/>
          <w:noProof w:val="0"/>
          <w:color w:val="000000"/>
          <w:position w:val="0"/>
          <w:sz w:val="20"/>
          <w:u w:val="none"/>
          <w:vertAlign w:val="baseline"/>
        </w:rPr>
        <w:t>. This appeal followed.</w:t>
      </w:r>
      <w:r>
        <w:rPr>
          <w:rFonts w:ascii="times" w:eastAsia="times" w:hAnsi="times" w:cs="times"/>
          <w:vertAlign w:val="superscript"/>
        </w:rPr>
        <w:footnoteReference w:customMarkFollows="1" w:id="3"/>
        <w:t xml:space="preserve">1</w:t>
      </w:r>
      <w:r>
        <w:rPr>
          <w:rFonts w:ascii="times" w:eastAsia="times" w:hAnsi="times" w:cs="times"/>
          <w:b w:val="0"/>
          <w:i w:val="0"/>
          <w:strike w:val="0"/>
          <w:noProof w:val="0"/>
          <w:color w:val="000000"/>
          <w:position w:val="0"/>
          <w:sz w:val="20"/>
          <w:u w:val="none"/>
          <w:vertAlign w:val="baseline"/>
        </w:rPr>
        <w:t xml:space="preserve"> </w:t>
      </w:r>
      <w:bookmarkStart w:id="32" w:name="Bookmark_LNHNREFclscc2"/>
      <w:bookmarkEnd w:id="32"/>
      <w:r>
        <w:rPr>
          <w:rFonts w:ascii="times" w:eastAsia="times" w:hAnsi="times" w:cs="times"/>
          <w:b w:val="0"/>
          <w:i w:val="0"/>
          <w:strike w:val="0"/>
          <w:noProof w:val="0"/>
          <w:color w:val="000000"/>
          <w:position w:val="0"/>
          <w:sz w:val="20"/>
          <w:u w:val="none"/>
          <w:vertAlign w:val="baseline"/>
        </w:rPr>
        <w:t xml:space="preserve">This Court reviews </w:t>
      </w:r>
      <w:r>
        <w:rPr>
          <w:rFonts w:ascii="times" w:eastAsia="times" w:hAnsi="times" w:cs="times"/>
          <w:b w:val="0"/>
          <w:i/>
          <w:strike w:val="0"/>
          <w:noProof w:val="0"/>
          <w:color w:val="000000"/>
          <w:position w:val="0"/>
          <w:sz w:val="20"/>
          <w:u w:val="none"/>
          <w:vertAlign w:val="baseline"/>
        </w:rPr>
        <w:t>de novo</w:t>
      </w:r>
      <w:r>
        <w:rPr>
          <w:rFonts w:ascii="times" w:eastAsia="times" w:hAnsi="times" w:cs="times"/>
          <w:b w:val="0"/>
          <w:i w:val="0"/>
          <w:strike w:val="0"/>
          <w:noProof w:val="0"/>
          <w:color w:val="000000"/>
          <w:position w:val="0"/>
          <w:sz w:val="20"/>
          <w:u w:val="none"/>
          <w:vertAlign w:val="baseline"/>
        </w:rPr>
        <w:t xml:space="preserve"> a district court's grant of summary judgment.</w:t>
      </w:r>
    </w:p>
    <w:p>
      <w:pPr>
        <w:keepNext w:val="0"/>
        <w:widowControl w:val="0"/>
        <w:spacing w:before="240" w:after="0" w:line="260" w:lineRule="atLeast"/>
        <w:ind w:left="0" w:right="0" w:firstLine="0"/>
        <w:jc w:val="left"/>
      </w:pPr>
      <w:r>
        <w:br/>
      </w:r>
      <w:r>
        <w:rPr>
          <w:rFonts w:ascii="times" w:eastAsia="times" w:hAnsi="times" w:cs="times"/>
          <w:b/>
          <w:i w:val="0"/>
          <w:strike w:val="0"/>
          <w:noProof w:val="0"/>
          <w:color w:val="000000"/>
          <w:position w:val="0"/>
          <w:sz w:val="20"/>
          <w:u w:val="none"/>
          <w:vertAlign w:val="baseline"/>
        </w:rPr>
        <w:t>DISCUSSION</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I.</w:t>
      </w:r>
    </w:p>
    <w:p>
      <w:pPr>
        <w:keepNext w:val="0"/>
        <w:widowControl w:val="0"/>
        <w:spacing w:before="200" w:after="0" w:line="260" w:lineRule="atLeast"/>
        <w:ind w:left="0" w:right="0" w:firstLine="0"/>
        <w:jc w:val="both"/>
      </w:pPr>
      <w:bookmarkStart w:id="33" w:name="Bookmark_para_19"/>
      <w:bookmarkEnd w:id="33"/>
      <w:r>
        <w:rPr>
          <w:rFonts w:ascii="times" w:eastAsia="times" w:hAnsi="times" w:cs="times"/>
          <w:b w:val="0"/>
          <w:i w:val="0"/>
          <w:strike w:val="0"/>
          <w:noProof w:val="0"/>
          <w:color w:val="000000"/>
          <w:position w:val="0"/>
          <w:sz w:val="20"/>
          <w:u w:val="none"/>
          <w:vertAlign w:val="baseline"/>
        </w:rPr>
        <w:t xml:space="preserve">RESPA is a consumer protection statute that regulates the real estate settlement process, including loan servicing and assignments. </w:t>
      </w:r>
      <w:hyperlink r:id="rId10" w:history="1">
        <w:r>
          <w:rPr>
            <w:rFonts w:ascii="times" w:eastAsia="times" w:hAnsi="times" w:cs="times"/>
            <w:b w:val="0"/>
            <w:i w:val="0"/>
            <w:strike w:val="0"/>
            <w:noProof w:val="0"/>
            <w:color w:val="0077CC"/>
            <w:position w:val="0"/>
            <w:sz w:val="20"/>
            <w:u w:val="single"/>
            <w:shd w:val="clear" w:color="auto" w:fill="FFFFFF"/>
            <w:vertAlign w:val="baseline"/>
          </w:rPr>
          <w:t>12 U.S.C. § 2601(a)</w:t>
        </w:r>
      </w:hyperlink>
      <w:r>
        <w:rPr>
          <w:rFonts w:ascii="times" w:eastAsia="times" w:hAnsi="times" w:cs="times"/>
          <w:b w:val="0"/>
          <w:i w:val="0"/>
          <w:strike w:val="0"/>
          <w:noProof w:val="0"/>
          <w:color w:val="000000"/>
          <w:position w:val="0"/>
          <w:sz w:val="20"/>
          <w:u w:val="none"/>
          <w:vertAlign w:val="baseline"/>
        </w:rPr>
        <w:t>. In 2010, RESPA was amended pursuant to the Dodd-Frank Wall Street Reform and Consumer Protection Act, Pub. L. No. 111-203, 124 Stat. 1376 (2010), which, among other things, added provisions governing the way in which federal</w:t>
      </w:r>
      <w:r>
        <w:rPr>
          <w:rFonts w:ascii="times" w:eastAsia="times" w:hAnsi="times" w:cs="times"/>
          <w:b/>
          <w:i w:val="0"/>
          <w:strike w:val="0"/>
          <w:noProof w:val="0"/>
          <w:color w:val="000000"/>
          <w:position w:val="0"/>
          <w:sz w:val="20"/>
          <w:u w:val="none"/>
          <w:vertAlign w:val="baseline"/>
        </w:rPr>
        <w:t> [*9] </w:t>
      </w:r>
      <w:r>
        <w:rPr>
          <w:rFonts w:ascii="times" w:eastAsia="times" w:hAnsi="times" w:cs="times"/>
          <w:b w:val="0"/>
          <w:i w:val="0"/>
          <w:strike w:val="0"/>
          <w:noProof w:val="0"/>
          <w:color w:val="000000"/>
          <w:position w:val="0"/>
          <w:sz w:val="20"/>
          <w:u w:val="none"/>
          <w:vertAlign w:val="baseline"/>
        </w:rPr>
        <w:t xml:space="preserve"> mortgage loan servicers responded to requests for information ("RFIs") or assertions of error from borrowers. Dodd-Frank also created the CFPB, which is responsible for promulgating rules and regulations implementing RESPA.</w:t>
      </w:r>
    </w:p>
    <w:p>
      <w:pPr>
        <w:keepNext w:val="0"/>
        <w:widowControl w:val="0"/>
        <w:spacing w:before="240" w:after="0" w:line="260" w:lineRule="atLeast"/>
        <w:ind w:left="0" w:right="0" w:firstLine="0"/>
        <w:jc w:val="both"/>
      </w:pPr>
      <w:bookmarkStart w:id="34" w:name="Bookmark_para_20"/>
      <w:bookmarkEnd w:id="34"/>
      <w:bookmarkStart w:id="35" w:name="Bookmark_I64HXDBT28T4Y10010000400"/>
      <w:bookmarkEnd w:id="35"/>
      <w:r>
        <w:rPr>
          <w:rFonts w:ascii="times" w:eastAsia="times" w:hAnsi="times" w:cs="times"/>
          <w:b w:val="0"/>
          <w:i w:val="0"/>
          <w:strike w:val="0"/>
          <w:noProof w:val="0"/>
          <w:color w:val="000000"/>
          <w:position w:val="0"/>
          <w:sz w:val="20"/>
          <w:u w:val="none"/>
          <w:vertAlign w:val="baseline"/>
        </w:rPr>
        <w:t xml:space="preserve">One such regulation is </w:t>
      </w:r>
      <w:hyperlink r:id="rId11" w:history="1">
        <w:r>
          <w:rPr>
            <w:rFonts w:ascii="times" w:eastAsia="times" w:hAnsi="times" w:cs="times"/>
            <w:b w:val="0"/>
            <w:i w:val="0"/>
            <w:strike w:val="0"/>
            <w:noProof w:val="0"/>
            <w:color w:val="0077CC"/>
            <w:position w:val="0"/>
            <w:sz w:val="20"/>
            <w:u w:val="single"/>
            <w:shd w:val="clear" w:color="auto" w:fill="FFFFFF"/>
            <w:vertAlign w:val="baseline"/>
          </w:rPr>
          <w:t>Regulation X</w:t>
        </w:r>
      </w:hyperlink>
      <w:r>
        <w:rPr>
          <w:rFonts w:ascii="times" w:eastAsia="times" w:hAnsi="times" w:cs="times"/>
          <w:b w:val="0"/>
          <w:i w:val="0"/>
          <w:strike w:val="0"/>
          <w:noProof w:val="0"/>
          <w:color w:val="000000"/>
          <w:position w:val="0"/>
          <w:sz w:val="20"/>
          <w:u w:val="none"/>
          <w:vertAlign w:val="baseline"/>
        </w:rPr>
        <w:t xml:space="preserve">, which went into effect in January 2014. </w:t>
      </w:r>
      <w:r>
        <w:rPr>
          <w:rFonts w:ascii="times" w:eastAsia="times" w:hAnsi="times" w:cs="times"/>
          <w:b w:val="0"/>
          <w:i/>
          <w:strike w:val="0"/>
          <w:noProof w:val="0"/>
          <w:color w:val="000000"/>
          <w:position w:val="0"/>
          <w:sz w:val="20"/>
          <w:u w:val="none"/>
          <w:vertAlign w:val="baseline"/>
        </w:rPr>
        <w:t>See</w:t>
      </w:r>
      <w:r>
        <w:rPr>
          <w:rFonts w:ascii="times" w:eastAsia="times" w:hAnsi="times" w:cs="times"/>
          <w:b w:val="0"/>
          <w:i w:val="0"/>
          <w:strike w:val="0"/>
          <w:noProof w:val="0"/>
          <w:color w:val="000000"/>
          <w:position w:val="0"/>
          <w:sz w:val="20"/>
          <w:u w:val="none"/>
          <w:vertAlign w:val="baseline"/>
        </w:rPr>
        <w:t xml:space="preserve"> </w:t>
      </w:r>
      <w:bookmarkStart w:id="36" w:name="Bookmark_I64HXDBS2SF7NY0050000400"/>
      <w:bookmarkEnd w:id="36"/>
      <w:hyperlink r:id="rId17" w:history="1">
        <w:r>
          <w:rPr>
            <w:rFonts w:ascii="times" w:eastAsia="times" w:hAnsi="times" w:cs="times"/>
            <w:b w:val="0"/>
            <w:i w:val="0"/>
            <w:strike w:val="0"/>
            <w:noProof w:val="0"/>
            <w:color w:val="0077CC"/>
            <w:position w:val="0"/>
            <w:sz w:val="20"/>
            <w:u w:val="single"/>
            <w:shd w:val="clear" w:color="auto" w:fill="FFFFFF"/>
            <w:vertAlign w:val="baseline"/>
          </w:rPr>
          <w:t>Mortgage Servicing Rules Under the Real Estate Settlement Procedures Act, 78 Fed. Reg. 10696, 10696 (Feb. 14, 2013)</w:t>
        </w:r>
      </w:hyperlink>
      <w:r>
        <w:rPr>
          <w:rFonts w:ascii="times" w:eastAsia="times" w:hAnsi="times" w:cs="times"/>
          <w:b w:val="0"/>
          <w:i w:val="0"/>
          <w:strike w:val="0"/>
          <w:noProof w:val="0"/>
          <w:color w:val="000000"/>
          <w:position w:val="0"/>
          <w:sz w:val="20"/>
          <w:u w:val="none"/>
          <w:vertAlign w:val="baseline"/>
        </w:rPr>
        <w:t xml:space="preserve">. </w:t>
      </w:r>
      <w:bookmarkStart w:id="37" w:name="Bookmark_LNHNREFclscc3"/>
      <w:bookmarkEnd w:id="37"/>
      <w:hyperlink r:id="rId11" w:history="1">
        <w:r>
          <w:rPr>
            <w:rFonts w:ascii="times" w:eastAsia="times" w:hAnsi="times" w:cs="times"/>
            <w:b w:val="0"/>
            <w:i w:val="0"/>
            <w:strike w:val="0"/>
            <w:noProof w:val="0"/>
            <w:color w:val="0077CC"/>
            <w:position w:val="0"/>
            <w:sz w:val="20"/>
            <w:u w:val="single"/>
            <w:shd w:val="clear" w:color="auto" w:fill="FFFFFF"/>
            <w:vertAlign w:val="baseline"/>
          </w:rPr>
          <w:t>Section 1024.35 of Regulation X</w:t>
        </w:r>
      </w:hyperlink>
      <w:r>
        <w:rPr>
          <w:rFonts w:ascii="times" w:eastAsia="times" w:hAnsi="times" w:cs="times"/>
          <w:b w:val="0"/>
          <w:i w:val="0"/>
          <w:strike w:val="0"/>
          <w:noProof w:val="0"/>
          <w:color w:val="000000"/>
          <w:position w:val="0"/>
          <w:sz w:val="20"/>
          <w:u w:val="none"/>
          <w:vertAlign w:val="baseline"/>
        </w:rPr>
        <w:t xml:space="preserve"> "allows borrowers to notify mortgage servicers of possible account errors." </w:t>
      </w:r>
      <w:hyperlink r:id="rId11" w:history="1">
        <w:r>
          <w:rPr>
            <w:rFonts w:ascii="times" w:eastAsia="times" w:hAnsi="times" w:cs="times"/>
            <w:b w:val="0"/>
            <w:i w:val="0"/>
            <w:strike w:val="0"/>
            <w:noProof w:val="0"/>
            <w:color w:val="0077CC"/>
            <w:position w:val="0"/>
            <w:sz w:val="20"/>
            <w:u w:val="single"/>
            <w:shd w:val="clear" w:color="auto" w:fill="FFFFFF"/>
            <w:vertAlign w:val="baseline"/>
          </w:rPr>
          <w:t>12 C.F.R. § 1024.35</w:t>
        </w:r>
      </w:hyperlink>
      <w:r>
        <w:rPr>
          <w:rFonts w:ascii="times" w:eastAsia="times" w:hAnsi="times" w:cs="times"/>
          <w:b w:val="0"/>
          <w:i w:val="0"/>
          <w:strike w:val="0"/>
          <w:noProof w:val="0"/>
          <w:color w:val="000000"/>
          <w:position w:val="0"/>
          <w:sz w:val="20"/>
          <w:u w:val="none"/>
          <w:vertAlign w:val="baseline"/>
        </w:rPr>
        <w:t xml:space="preserve">. Loan servicers, then, are required to respond to "any written notice from the borrower that asserts an error and that includes . . . information that enables the servicer to identify the borrower's mortgage loan account, and the error the borrower believes has occurred." </w:t>
      </w:r>
      <w:r>
        <w:rPr>
          <w:rFonts w:ascii="times" w:eastAsia="times" w:hAnsi="times" w:cs="times"/>
          <w:b w:val="0"/>
          <w:i/>
          <w:strike w:val="0"/>
          <w:noProof w:val="0"/>
          <w:color w:val="000000"/>
          <w:position w:val="0"/>
          <w:sz w:val="20"/>
          <w:u w:val="none"/>
          <w:vertAlign w:val="baseline"/>
        </w:rPr>
        <w:t>Id.</w:t>
      </w:r>
      <w:r>
        <w:rPr>
          <w:rFonts w:ascii="times" w:eastAsia="times" w:hAnsi="times" w:cs="times"/>
          <w:b w:val="0"/>
          <w:i w:val="0"/>
          <w:strike w:val="0"/>
          <w:noProof w:val="0"/>
          <w:color w:val="000000"/>
          <w:position w:val="0"/>
          <w:sz w:val="20"/>
          <w:u w:val="none"/>
          <w:vertAlign w:val="baseline"/>
        </w:rPr>
        <w:t xml:space="preserve"> </w:t>
      </w:r>
      <w:hyperlink r:id="rId11" w:history="1">
        <w:r>
          <w:rPr>
            <w:rFonts w:ascii="times" w:eastAsia="times" w:hAnsi="times" w:cs="times"/>
            <w:b w:val="0"/>
            <w:i w:val="0"/>
            <w:strike w:val="0"/>
            <w:noProof w:val="0"/>
            <w:color w:val="0077CC"/>
            <w:position w:val="0"/>
            <w:sz w:val="20"/>
            <w:u w:val="single"/>
            <w:shd w:val="clear" w:color="auto" w:fill="FFFFFF"/>
            <w:vertAlign w:val="baseline"/>
          </w:rPr>
          <w:t>§ 1024.35(a)</w:t>
        </w:r>
      </w:hyperlink>
      <w:r>
        <w:rPr>
          <w:rFonts w:ascii="times" w:eastAsia="times" w:hAnsi="times" w:cs="times"/>
          <w:b w:val="0"/>
          <w:i w:val="0"/>
          <w:strike w:val="0"/>
          <w:noProof w:val="0"/>
          <w:color w:val="000000"/>
          <w:position w:val="0"/>
          <w:sz w:val="20"/>
          <w:u w:val="none"/>
          <w:vertAlign w:val="baseline"/>
        </w:rPr>
        <w:t xml:space="preserve">. The obligation to respond, though, applies only to the "covered errors" listed in </w:t>
      </w:r>
      <w:hyperlink r:id="rId11" w:history="1">
        <w:r>
          <w:rPr>
            <w:rFonts w:ascii="times" w:eastAsia="times" w:hAnsi="times" w:cs="times"/>
            <w:b w:val="0"/>
            <w:i w:val="0"/>
            <w:strike w:val="0"/>
            <w:noProof w:val="0"/>
            <w:color w:val="0077CC"/>
            <w:position w:val="0"/>
            <w:sz w:val="20"/>
            <w:u w:val="single"/>
            <w:shd w:val="clear" w:color="auto" w:fill="FFFFFF"/>
            <w:vertAlign w:val="baseline"/>
          </w:rPr>
          <w:t>§ 1024.35(b)</w:t>
        </w:r>
      </w:hyperlink>
      <w:r>
        <w:rPr>
          <w:rFonts w:ascii="times" w:eastAsia="times" w:hAnsi="times" w:cs="times"/>
          <w:b w:val="0"/>
          <w:i w:val="0"/>
          <w:strike w:val="0"/>
          <w:noProof w:val="0"/>
          <w:color w:val="000000"/>
          <w:position w:val="0"/>
          <w:sz w:val="20"/>
          <w:u w:val="none"/>
          <w:vertAlign w:val="baseline"/>
        </w:rPr>
        <w:t>. This subsection enumerates ten specific covered errors,</w:t>
      </w:r>
      <w:r>
        <w:rPr>
          <w:rFonts w:ascii="times" w:eastAsia="times" w:hAnsi="times" w:cs="times"/>
          <w:vertAlign w:val="superscript"/>
        </w:rPr>
        <w:footnoteReference w:customMarkFollows="1" w:id="4"/>
        <w:t xml:space="preserve">2</w:t>
      </w:r>
      <w:r>
        <w:rPr>
          <w:rFonts w:ascii="times" w:eastAsia="times" w:hAnsi="times" w:cs="times"/>
          <w:b w:val="0"/>
          <w:i w:val="0"/>
          <w:strike w:val="0"/>
          <w:noProof w:val="0"/>
          <w:color w:val="000000"/>
          <w:position w:val="0"/>
          <w:sz w:val="20"/>
          <w:u w:val="none"/>
          <w:vertAlign w:val="baseline"/>
        </w:rPr>
        <w:t xml:space="preserve"> and then includes an eleventh "catch-all provision," which encompasses "[a]ny other error relating to the servicing of a borrower's mortgage loan." </w:t>
      </w:r>
      <w:r>
        <w:rPr>
          <w:rFonts w:ascii="times" w:eastAsia="times" w:hAnsi="times" w:cs="times"/>
          <w:b w:val="0"/>
          <w:i/>
          <w:strike w:val="0"/>
          <w:noProof w:val="0"/>
          <w:color w:val="000000"/>
          <w:position w:val="0"/>
          <w:sz w:val="20"/>
          <w:u w:val="none"/>
          <w:vertAlign w:val="baseline"/>
        </w:rPr>
        <w:t>Id.</w:t>
      </w:r>
      <w:r>
        <w:rPr>
          <w:rFonts w:ascii="times" w:eastAsia="times" w:hAnsi="times" w:cs="times"/>
          <w:b w:val="0"/>
          <w:i w:val="0"/>
          <w:strike w:val="0"/>
          <w:noProof w:val="0"/>
          <w:color w:val="000000"/>
          <w:position w:val="0"/>
          <w:sz w:val="20"/>
          <w:u w:val="none"/>
          <w:vertAlign w:val="baseline"/>
        </w:rPr>
        <w:t xml:space="preserve"> </w:t>
      </w:r>
      <w:hyperlink r:id="rId11" w:history="1">
        <w:r>
          <w:rPr>
            <w:rFonts w:ascii="times" w:eastAsia="times" w:hAnsi="times" w:cs="times"/>
            <w:b w:val="0"/>
            <w:i w:val="0"/>
            <w:strike w:val="0"/>
            <w:noProof w:val="0"/>
            <w:color w:val="0077CC"/>
            <w:position w:val="0"/>
            <w:sz w:val="20"/>
            <w:u w:val="single"/>
            <w:shd w:val="clear" w:color="auto" w:fill="FFFFFF"/>
            <w:vertAlign w:val="baseline"/>
          </w:rPr>
          <w:t>§ 1024.35(b)(11)</w:t>
        </w:r>
      </w:hyperlink>
      <w:r>
        <w:rPr>
          <w:rFonts w:ascii="times" w:eastAsia="times" w:hAnsi="times" w:cs="times"/>
          <w:b w:val="0"/>
          <w:i w:val="0"/>
          <w:strike w:val="0"/>
          <w:noProof w:val="0"/>
          <w:color w:val="000000"/>
          <w:position w:val="0"/>
          <w:sz w:val="20"/>
          <w:u w:val="none"/>
          <w:vertAlign w:val="baseline"/>
        </w:rPr>
        <w:t>.</w:t>
      </w:r>
    </w:p>
    <w:p>
      <w:pPr>
        <w:keepNext w:val="0"/>
        <w:widowControl w:val="0"/>
        <w:spacing w:before="240" w:after="0" w:line="260" w:lineRule="atLeast"/>
        <w:ind w:left="0" w:right="0" w:firstLine="0"/>
        <w:jc w:val="both"/>
      </w:pPr>
      <w:bookmarkStart w:id="49" w:name="Bookmark_para_21"/>
      <w:bookmarkEnd w:id="49"/>
      <w:bookmarkStart w:id="50" w:name="Bookmark_I64HXDBT28T4Y10030000400"/>
      <w:bookmarkEnd w:id="50"/>
      <w:r>
        <w:rPr>
          <w:rFonts w:ascii="times" w:eastAsia="times" w:hAnsi="times" w:cs="times"/>
          <w:b w:val="0"/>
          <w:i w:val="0"/>
          <w:strike w:val="0"/>
          <w:noProof w:val="0"/>
          <w:color w:val="000000"/>
          <w:position w:val="0"/>
          <w:sz w:val="20"/>
          <w:u w:val="none"/>
          <w:vertAlign w:val="baseline"/>
        </w:rPr>
        <w:t xml:space="preserve">At the core of this appeal is whether the errors Naimoli alleged Ocwen committed in handling her loan documents are "covered errors" under the catch-all provision. Primarily relying on </w:t>
      </w:r>
      <w:bookmarkStart w:id="51" w:name="Bookmark_I64HXDBT28T4Y10020000400"/>
      <w:bookmarkEnd w:id="51"/>
      <w:hyperlink r:id="rId18" w:history="1">
        <w:r>
          <w:rPr>
            <w:rFonts w:ascii="times" w:eastAsia="times" w:hAnsi="times" w:cs="times"/>
            <w:b w:val="0"/>
            <w:i/>
            <w:strike w:val="0"/>
            <w:noProof w:val="0"/>
            <w:color w:val="0077CC"/>
            <w:position w:val="0"/>
            <w:sz w:val="20"/>
            <w:u w:val="single"/>
            <w:shd w:val="clear" w:color="auto" w:fill="FFFFFF"/>
            <w:vertAlign w:val="baseline"/>
          </w:rPr>
          <w:t>Sutton v. CitiMortgage, Inc.</w:t>
        </w:r>
      </w:hyperlink>
      <w:hyperlink r:id="rId18" w:history="1">
        <w:r>
          <w:rPr>
            <w:rFonts w:ascii="times" w:eastAsia="times" w:hAnsi="times" w:cs="times"/>
            <w:b w:val="0"/>
            <w:i w:val="0"/>
            <w:strike w:val="0"/>
            <w:noProof w:val="0"/>
            <w:color w:val="0077CC"/>
            <w:position w:val="0"/>
            <w:sz w:val="20"/>
            <w:u w:val="single"/>
            <w:shd w:val="clear" w:color="auto" w:fill="FFFFFF"/>
            <w:vertAlign w:val="baseline"/>
          </w:rPr>
          <w:t>, 228 F. Supp. 3d 254 (S.D.N.Y. 2017)</w:t>
        </w:r>
      </w:hyperlink>
      <w:r>
        <w:rPr>
          <w:rFonts w:ascii="times" w:eastAsia="times" w:hAnsi="times" w:cs="times"/>
          <w:b w:val="0"/>
          <w:i w:val="0"/>
          <w:strike w:val="0"/>
          <w:noProof w:val="0"/>
          <w:color w:val="000000"/>
          <w:position w:val="0"/>
          <w:sz w:val="20"/>
          <w:u w:val="none"/>
          <w:vertAlign w:val="baseline"/>
        </w:rPr>
        <w:t>, the district court concluded that the errors Naimoli asserted were essentially</w:t>
      </w:r>
      <w:r>
        <w:rPr>
          <w:rFonts w:ascii="times" w:eastAsia="times" w:hAnsi="times" w:cs="times"/>
          <w:b/>
          <w:i w:val="0"/>
          <w:strike w:val="0"/>
          <w:noProof w:val="0"/>
          <w:color w:val="000000"/>
          <w:position w:val="0"/>
          <w:sz w:val="20"/>
          <w:u w:val="none"/>
          <w:vertAlign w:val="baseline"/>
        </w:rPr>
        <w:t> [*10] </w:t>
      </w:r>
      <w:r>
        <w:rPr>
          <w:rFonts w:ascii="times" w:eastAsia="times" w:hAnsi="times" w:cs="times"/>
          <w:b w:val="0"/>
          <w:i w:val="0"/>
          <w:strike w:val="0"/>
          <w:noProof w:val="0"/>
          <w:color w:val="000000"/>
          <w:position w:val="0"/>
          <w:sz w:val="20"/>
          <w:u w:val="none"/>
          <w:vertAlign w:val="baseline"/>
        </w:rPr>
        <w:t xml:space="preserve"> challenges to the denial of her loan modification, which are not covered under RESPA or </w:t>
      </w:r>
      <w:hyperlink r:id="rId19" w:history="1">
        <w:r>
          <w:rPr>
            <w:rFonts w:ascii="times" w:eastAsia="times" w:hAnsi="times" w:cs="times"/>
            <w:b w:val="0"/>
            <w:i w:val="0"/>
            <w:strike w:val="0"/>
            <w:noProof w:val="0"/>
            <w:color w:val="0077CC"/>
            <w:position w:val="0"/>
            <w:sz w:val="20"/>
            <w:u w:val="single"/>
            <w:shd w:val="clear" w:color="auto" w:fill="FFFFFF"/>
            <w:vertAlign w:val="baseline"/>
          </w:rPr>
          <w:t>Regulation X</w:t>
        </w:r>
      </w:hyperlink>
      <w:r>
        <w:rPr>
          <w:rFonts w:ascii="times" w:eastAsia="times" w:hAnsi="times" w:cs="times"/>
          <w:b w:val="0"/>
          <w:i w:val="0"/>
          <w:strike w:val="0"/>
          <w:noProof w:val="0"/>
          <w:color w:val="000000"/>
          <w:position w:val="0"/>
          <w:sz w:val="20"/>
          <w:u w:val="none"/>
          <w:vertAlign w:val="baseline"/>
        </w:rPr>
        <w:t xml:space="preserve">. Specifically, the district court likened Naimoli's asserted errors and efforts to get Ocwen to implement the promised final modification to the </w:t>
      </w:r>
      <w:bookmarkStart w:id="52" w:name="Bookmark_I64HXDBT28T4Y10040000400"/>
      <w:bookmarkEnd w:id="52"/>
      <w:hyperlink r:id="rId18" w:history="1">
        <w:r>
          <w:rPr>
            <w:rFonts w:ascii="times" w:eastAsia="times" w:hAnsi="times" w:cs="times"/>
            <w:b w:val="0"/>
            <w:i w:val="0"/>
            <w:strike w:val="0"/>
            <w:noProof w:val="0"/>
            <w:color w:val="0077CC"/>
            <w:position w:val="0"/>
            <w:sz w:val="20"/>
            <w:u w:val="single"/>
            <w:shd w:val="clear" w:color="auto" w:fill="FFFFFF"/>
            <w:vertAlign w:val="baseline"/>
          </w:rPr>
          <w:t>Sutton</w:t>
        </w:r>
      </w:hyperlink>
      <w:r>
        <w:rPr>
          <w:rFonts w:ascii="times" w:eastAsia="times" w:hAnsi="times" w:cs="times"/>
          <w:b w:val="0"/>
          <w:i w:val="0"/>
          <w:strike w:val="0"/>
          <w:noProof w:val="0"/>
          <w:color w:val="000000"/>
          <w:position w:val="0"/>
          <w:sz w:val="20"/>
          <w:u w:val="none"/>
          <w:vertAlign w:val="baseline"/>
        </w:rPr>
        <w:t xml:space="preserve"> plaintiff's attempts to challenge her eligibility for a mortgage loan amortization extension.</w:t>
      </w:r>
    </w:p>
    <w:p>
      <w:pPr>
        <w:keepNext w:val="0"/>
        <w:widowControl w:val="0"/>
        <w:spacing w:before="240" w:after="0" w:line="260" w:lineRule="atLeast"/>
        <w:ind w:left="0" w:right="0" w:firstLine="0"/>
        <w:jc w:val="both"/>
      </w:pPr>
      <w:bookmarkStart w:id="53" w:name="Bookmark_para_22"/>
      <w:bookmarkEnd w:id="53"/>
      <w:r>
        <w:rPr>
          <w:rFonts w:ascii="times" w:eastAsia="times" w:hAnsi="times" w:cs="times"/>
          <w:b w:val="0"/>
          <w:i w:val="0"/>
          <w:strike w:val="0"/>
          <w:noProof w:val="0"/>
          <w:color w:val="000000"/>
          <w:position w:val="0"/>
          <w:sz w:val="20"/>
          <w:u w:val="none"/>
          <w:vertAlign w:val="baseline"/>
        </w:rPr>
        <w:t xml:space="preserve">The court determined that because Ocwen had not yet extended the promised permanent modification agreement, its actions in losing and otherwise failing to record the necessary documents are distinguishable from situations involving failures by mortgage loan servicers to honor permanent modification agreements. The court next concluded that the catch-all provision was limited to RESPA's definition of "servicing," and because Ocwen's failure to record the documents did not relate to the receipt or making of payments pursuant to the terms of Naimoli's loan with Ocwen, it was not an error related to the servicing of Naimoli's loan. Finally, the court held that Ocwen's refusal to accept Naimoli's February 2017 payment did not constitute a covered error under </w:t>
      </w:r>
      <w:hyperlink r:id="rId11" w:history="1">
        <w:r>
          <w:rPr>
            <w:rFonts w:ascii="times" w:eastAsia="times" w:hAnsi="times" w:cs="times"/>
            <w:b w:val="0"/>
            <w:i w:val="0"/>
            <w:strike w:val="0"/>
            <w:noProof w:val="0"/>
            <w:color w:val="0077CC"/>
            <w:position w:val="0"/>
            <w:sz w:val="20"/>
            <w:u w:val="single"/>
            <w:shd w:val="clear" w:color="auto" w:fill="FFFFFF"/>
            <w:vertAlign w:val="baseline"/>
          </w:rPr>
          <w:t>§ 1024.35(b)(1)</w:t>
        </w:r>
      </w:hyperlink>
      <w:r>
        <w:rPr>
          <w:rFonts w:ascii="times" w:eastAsia="times" w:hAnsi="times" w:cs="times"/>
          <w:b w:val="0"/>
          <w:i w:val="0"/>
          <w:strike w:val="0"/>
          <w:noProof w:val="0"/>
          <w:color w:val="000000"/>
          <w:position w:val="0"/>
          <w:sz w:val="20"/>
          <w:u w:val="none"/>
          <w:vertAlign w:val="baseline"/>
        </w:rPr>
        <w:t xml:space="preserve"> because Ocwen had already refused to implement the final modification agreement. Therefore, the court concluded,</w:t>
      </w:r>
      <w:r>
        <w:rPr>
          <w:rFonts w:ascii="times" w:eastAsia="times" w:hAnsi="times" w:cs="times"/>
          <w:b/>
          <w:i w:val="0"/>
          <w:strike w:val="0"/>
          <w:noProof w:val="0"/>
          <w:color w:val="000000"/>
          <w:position w:val="0"/>
          <w:sz w:val="20"/>
          <w:u w:val="none"/>
          <w:vertAlign w:val="baseline"/>
        </w:rPr>
        <w:t> [*11] </w:t>
      </w:r>
      <w:r>
        <w:rPr>
          <w:rFonts w:ascii="times" w:eastAsia="times" w:hAnsi="times" w:cs="times"/>
          <w:b w:val="0"/>
          <w:i w:val="0"/>
          <w:strike w:val="0"/>
          <w:noProof w:val="0"/>
          <w:color w:val="000000"/>
          <w:position w:val="0"/>
          <w:sz w:val="20"/>
          <w:u w:val="none"/>
          <w:vertAlign w:val="baseline"/>
        </w:rPr>
        <w:t xml:space="preserve"> Ocwen was no longer obligated to accept Naimoli's modification payments, and Ocwen's rejection of the payment was not a covered error under </w:t>
      </w:r>
      <w:hyperlink r:id="rId11" w:history="1">
        <w:r>
          <w:rPr>
            <w:rFonts w:ascii="times" w:eastAsia="times" w:hAnsi="times" w:cs="times"/>
            <w:b w:val="0"/>
            <w:i w:val="0"/>
            <w:strike w:val="0"/>
            <w:noProof w:val="0"/>
            <w:color w:val="0077CC"/>
            <w:position w:val="0"/>
            <w:sz w:val="20"/>
            <w:u w:val="single"/>
            <w:shd w:val="clear" w:color="auto" w:fill="FFFFFF"/>
            <w:vertAlign w:val="baseline"/>
          </w:rPr>
          <w:t>§ 1024.35(b)(1)</w:t>
        </w:r>
      </w:hyperlink>
      <w:r>
        <w:rPr>
          <w:rFonts w:ascii="times" w:eastAsia="times" w:hAnsi="times" w:cs="times"/>
          <w:b w:val="0"/>
          <w:i w:val="0"/>
          <w:strike w:val="0"/>
          <w:noProof w:val="0"/>
          <w:color w:val="000000"/>
          <w:position w:val="0"/>
          <w:sz w:val="20"/>
          <w:u w:val="none"/>
          <w:vertAlign w:val="baseline"/>
        </w:rPr>
        <w:t>.</w:t>
      </w:r>
    </w:p>
    <w:p>
      <w:pPr>
        <w:keepNext w:val="0"/>
        <w:widowControl w:val="0"/>
        <w:spacing w:before="200" w:after="0" w:line="260" w:lineRule="atLeast"/>
        <w:ind w:left="0" w:right="0" w:firstLine="0"/>
        <w:jc w:val="both"/>
      </w:pPr>
      <w:bookmarkStart w:id="54" w:name="Bookmark_para_23"/>
      <w:bookmarkEnd w:id="54"/>
      <w:r>
        <w:rPr>
          <w:rFonts w:ascii="times" w:eastAsia="times" w:hAnsi="times" w:cs="times"/>
          <w:b w:val="0"/>
          <w:i w:val="0"/>
          <w:strike w:val="0"/>
          <w:noProof w:val="0"/>
          <w:color w:val="000000"/>
          <w:position w:val="0"/>
          <w:sz w:val="20"/>
          <w:u w:val="none"/>
          <w:vertAlign w:val="baseline"/>
        </w:rPr>
        <w:t xml:space="preserve">The CFPB disagreed. </w:t>
      </w:r>
      <w:r>
        <w:rPr>
          <w:rFonts w:ascii="times" w:eastAsia="times" w:hAnsi="times" w:cs="times"/>
          <w:b w:val="0"/>
          <w:i/>
          <w:strike w:val="0"/>
          <w:noProof w:val="0"/>
          <w:color w:val="000000"/>
          <w:position w:val="0"/>
          <w:sz w:val="20"/>
          <w:u w:val="none"/>
          <w:vertAlign w:val="baseline"/>
        </w:rPr>
        <w:t>See</w:t>
      </w:r>
      <w:r>
        <w:rPr>
          <w:rFonts w:ascii="times" w:eastAsia="times" w:hAnsi="times" w:cs="times"/>
          <w:b w:val="0"/>
          <w:i w:val="0"/>
          <w:strike w:val="0"/>
          <w:noProof w:val="0"/>
          <w:color w:val="000000"/>
          <w:position w:val="0"/>
          <w:sz w:val="20"/>
          <w:u w:val="none"/>
          <w:vertAlign w:val="baseline"/>
        </w:rPr>
        <w:t xml:space="preserve"> CFPB Amicus Br. at 19-32. When asked by this Court for its interpretation of the applicable provisions of RESPA and Regulation X, the CFPB stated its belief that "[c]ontrary to the district court's conclusion, . . . the servicer's mismanagement of the borrower's mortgage loan documents in this case, including the servicer's failure to record those documents after telling the borrower it would do so, is a covered error under </w:t>
      </w:r>
      <w:hyperlink r:id="rId11" w:history="1">
        <w:r>
          <w:rPr>
            <w:rFonts w:ascii="times" w:eastAsia="times" w:hAnsi="times" w:cs="times"/>
            <w:b w:val="0"/>
            <w:i w:val="0"/>
            <w:strike w:val="0"/>
            <w:noProof w:val="0"/>
            <w:color w:val="0077CC"/>
            <w:position w:val="0"/>
            <w:sz w:val="20"/>
            <w:u w:val="single"/>
            <w:shd w:val="clear" w:color="auto" w:fill="FFFFFF"/>
            <w:vertAlign w:val="baseline"/>
          </w:rPr>
          <w:t>§ 1024.35(b)</w:t>
        </w:r>
      </w:hyperlink>
      <w:r>
        <w:rPr>
          <w:rFonts w:ascii="times" w:eastAsia="times" w:hAnsi="times" w:cs="times"/>
          <w:b w:val="0"/>
          <w:i w:val="0"/>
          <w:strike w:val="0"/>
          <w:noProof w:val="0"/>
          <w:color w:val="000000"/>
          <w:position w:val="0"/>
          <w:sz w:val="20"/>
          <w:u w:val="none"/>
          <w:vertAlign w:val="baseline"/>
        </w:rPr>
        <w:t xml:space="preserve">'s catch-all provision." </w:t>
      </w:r>
      <w:r>
        <w:rPr>
          <w:rFonts w:ascii="times" w:eastAsia="times" w:hAnsi="times" w:cs="times"/>
          <w:b w:val="0"/>
          <w:i/>
          <w:strike w:val="0"/>
          <w:noProof w:val="0"/>
          <w:color w:val="000000"/>
          <w:position w:val="0"/>
          <w:sz w:val="20"/>
          <w:u w:val="none"/>
          <w:vertAlign w:val="baseline"/>
        </w:rPr>
        <w:t>Id.</w:t>
      </w:r>
      <w:r>
        <w:rPr>
          <w:rFonts w:ascii="times" w:eastAsia="times" w:hAnsi="times" w:cs="times"/>
          <w:b w:val="0"/>
          <w:i w:val="0"/>
          <w:strike w:val="0"/>
          <w:noProof w:val="0"/>
          <w:color w:val="000000"/>
          <w:position w:val="0"/>
          <w:sz w:val="20"/>
          <w:u w:val="none"/>
          <w:vertAlign w:val="baseline"/>
        </w:rPr>
        <w:t xml:space="preserve"> at 2. A threshold question, then, is how much deference this Court should give to the CFPB's interpretation here. We conclude that we need not enter the deference thicket at all.</w:t>
      </w:r>
    </w:p>
    <w:p>
      <w:pPr>
        <w:keepNext w:val="0"/>
        <w:widowControl w:val="0"/>
        <w:spacing w:before="240" w:after="0" w:line="260" w:lineRule="atLeast"/>
        <w:ind w:left="0" w:right="0" w:firstLine="0"/>
        <w:jc w:val="both"/>
      </w:pPr>
      <w:bookmarkStart w:id="55" w:name="Bookmark_para_24"/>
      <w:bookmarkEnd w:id="55"/>
      <w:bookmarkStart w:id="56" w:name="Bookmark_I64HXDBT28T4Y30020000400"/>
      <w:bookmarkEnd w:id="56"/>
      <w:bookmarkStart w:id="57" w:name="Bookmark_I64HXDBV28T4Y70010000400"/>
      <w:bookmarkEnd w:id="57"/>
      <w:bookmarkStart w:id="58" w:name="Bookmark_I64HXDBV28T4Y70030000400"/>
      <w:bookmarkEnd w:id="58"/>
      <w:r>
        <w:rPr>
          <w:rFonts w:ascii="times" w:eastAsia="times" w:hAnsi="times" w:cs="times"/>
          <w:b w:val="0"/>
          <w:i w:val="0"/>
          <w:strike w:val="0"/>
          <w:noProof w:val="0"/>
          <w:color w:val="000000"/>
          <w:position w:val="0"/>
          <w:sz w:val="20"/>
          <w:u w:val="none"/>
          <w:vertAlign w:val="baseline"/>
        </w:rPr>
        <w:t xml:space="preserve">When Congress has entrusted rulemaking authority under a statute to an administrative agency, the court evaluates the agency's implementing regulations under </w:t>
      </w:r>
      <w:bookmarkStart w:id="59" w:name="Bookmark_I64HXDBT28T4Y30010000400"/>
      <w:bookmarkEnd w:id="59"/>
      <w:hyperlink r:id="rId20" w:history="1">
        <w:r>
          <w:rPr>
            <w:rFonts w:ascii="times" w:eastAsia="times" w:hAnsi="times" w:cs="times"/>
            <w:b w:val="0"/>
            <w:i/>
            <w:strike w:val="0"/>
            <w:noProof w:val="0"/>
            <w:color w:val="0077CC"/>
            <w:position w:val="0"/>
            <w:sz w:val="20"/>
            <w:u w:val="single"/>
            <w:shd w:val="clear" w:color="auto" w:fill="FFFFFF"/>
            <w:vertAlign w:val="baseline"/>
          </w:rPr>
          <w:t>Chevron, U.S.A., Inc. v. Natural Resources Defense Council, Inc.</w:t>
        </w:r>
      </w:hyperlink>
      <w:hyperlink r:id="rId20" w:history="1">
        <w:r>
          <w:rPr>
            <w:rFonts w:ascii="times" w:eastAsia="times" w:hAnsi="times" w:cs="times"/>
            <w:b w:val="0"/>
            <w:i w:val="0"/>
            <w:strike w:val="0"/>
            <w:noProof w:val="0"/>
            <w:color w:val="0077CC"/>
            <w:position w:val="0"/>
            <w:sz w:val="20"/>
            <w:u w:val="single"/>
            <w:shd w:val="clear" w:color="auto" w:fill="FFFFFF"/>
            <w:vertAlign w:val="baseline"/>
          </w:rPr>
          <w:t>, 467 U.S. 837, 104 S. Ct. 2778, 81 L. Ed. 2d 694 (1984)</w:t>
        </w:r>
      </w:hyperlink>
      <w:r>
        <w:rPr>
          <w:rFonts w:ascii="times" w:eastAsia="times" w:hAnsi="times" w:cs="times"/>
          <w:b w:val="0"/>
          <w:i w:val="0"/>
          <w:strike w:val="0"/>
          <w:noProof w:val="0"/>
          <w:color w:val="000000"/>
          <w:position w:val="0"/>
          <w:sz w:val="20"/>
          <w:u w:val="none"/>
          <w:vertAlign w:val="baseline"/>
        </w:rPr>
        <w:t xml:space="preserve">; </w:t>
      </w:r>
      <w:r>
        <w:rPr>
          <w:rFonts w:ascii="times" w:eastAsia="times" w:hAnsi="times" w:cs="times"/>
          <w:b w:val="0"/>
          <w:i/>
          <w:strike w:val="0"/>
          <w:noProof w:val="0"/>
          <w:color w:val="000000"/>
          <w:position w:val="0"/>
          <w:sz w:val="20"/>
          <w:u w:val="none"/>
          <w:vertAlign w:val="baseline"/>
        </w:rPr>
        <w:t xml:space="preserve">see also </w:t>
      </w:r>
      <w:bookmarkStart w:id="60" w:name="Bookmark_I64HXDBT28T4Y30030000400"/>
      <w:bookmarkEnd w:id="60"/>
      <w:hyperlink r:id="rId21" w:history="1">
        <w:r>
          <w:rPr>
            <w:rFonts w:ascii="times" w:eastAsia="times" w:hAnsi="times" w:cs="times"/>
            <w:b w:val="0"/>
            <w:i/>
            <w:strike w:val="0"/>
            <w:noProof w:val="0"/>
            <w:color w:val="0077CC"/>
            <w:position w:val="0"/>
            <w:sz w:val="20"/>
            <w:u w:val="single"/>
            <w:shd w:val="clear" w:color="auto" w:fill="FFFFFF"/>
            <w:vertAlign w:val="baseline"/>
          </w:rPr>
          <w:t>United States v. Mead Corp.</w:t>
        </w:r>
      </w:hyperlink>
      <w:hyperlink r:id="rId21" w:history="1">
        <w:r>
          <w:rPr>
            <w:rFonts w:ascii="times" w:eastAsia="times" w:hAnsi="times" w:cs="times"/>
            <w:b w:val="0"/>
            <w:i w:val="0"/>
            <w:strike w:val="0"/>
            <w:noProof w:val="0"/>
            <w:color w:val="0077CC"/>
            <w:position w:val="0"/>
            <w:sz w:val="20"/>
            <w:u w:val="single"/>
            <w:shd w:val="clear" w:color="auto" w:fill="FFFFFF"/>
            <w:vertAlign w:val="baseline"/>
          </w:rPr>
          <w:t>, 533 U.S. 218, 229-30, 121 S. Ct. 2164, 150 L. Ed. 2d 292 (2001)</w:t>
        </w:r>
      </w:hyperlink>
      <w:r>
        <w:rPr>
          <w:rFonts w:ascii="times" w:eastAsia="times" w:hAnsi="times" w:cs="times"/>
          <w:b w:val="0"/>
          <w:i w:val="0"/>
          <w:strike w:val="0"/>
          <w:noProof w:val="0"/>
          <w:color w:val="000000"/>
          <w:position w:val="0"/>
          <w:sz w:val="20"/>
          <w:u w:val="none"/>
          <w:vertAlign w:val="baseline"/>
        </w:rPr>
        <w:t xml:space="preserve">. </w:t>
      </w:r>
      <w:bookmarkStart w:id="61" w:name="Bookmark_I64HXDBV28T4Y70050000400"/>
      <w:bookmarkEnd w:id="61"/>
      <w:r>
        <w:rPr>
          <w:rFonts w:ascii="times" w:eastAsia="times" w:hAnsi="times" w:cs="times"/>
          <w:b w:val="0"/>
          <w:i w:val="0"/>
          <w:strike w:val="0"/>
          <w:noProof w:val="0"/>
          <w:color w:val="000000"/>
          <w:position w:val="0"/>
          <w:sz w:val="20"/>
          <w:u w:val="none"/>
          <w:vertAlign w:val="baseline"/>
        </w:rPr>
        <w:t xml:space="preserve">Following </w:t>
      </w:r>
      <w:bookmarkStart w:id="62" w:name="Bookmark_I64HXDBT28T4Y30050000400"/>
      <w:bookmarkEnd w:id="62"/>
      <w:hyperlink r:id="rId22" w:history="1">
        <w:r>
          <w:rPr>
            <w:rFonts w:ascii="times" w:eastAsia="times" w:hAnsi="times" w:cs="times"/>
            <w:b w:val="0"/>
            <w:i/>
            <w:strike w:val="0"/>
            <w:noProof w:val="0"/>
            <w:color w:val="0077CC"/>
            <w:position w:val="0"/>
            <w:sz w:val="20"/>
            <w:u w:val="single"/>
            <w:shd w:val="clear" w:color="auto" w:fill="FFFFFF"/>
            <w:vertAlign w:val="baseline"/>
          </w:rPr>
          <w:t>Auer v. Robbins</w:t>
        </w:r>
      </w:hyperlink>
      <w:hyperlink r:id="rId22" w:history="1">
        <w:r>
          <w:rPr>
            <w:rFonts w:ascii="times" w:eastAsia="times" w:hAnsi="times" w:cs="times"/>
            <w:b w:val="0"/>
            <w:i w:val="0"/>
            <w:strike w:val="0"/>
            <w:noProof w:val="0"/>
            <w:color w:val="0077CC"/>
            <w:position w:val="0"/>
            <w:sz w:val="20"/>
            <w:u w:val="single"/>
            <w:shd w:val="clear" w:color="auto" w:fill="FFFFFF"/>
            <w:vertAlign w:val="baseline"/>
          </w:rPr>
          <w:t>, 519 U.S. 452, 117 S. Ct. 905, 137 L. Ed. 2d 79 (1997)</w:t>
        </w:r>
      </w:hyperlink>
      <w:r>
        <w:rPr>
          <w:rFonts w:ascii="times" w:eastAsia="times" w:hAnsi="times" w:cs="times"/>
          <w:b w:val="0"/>
          <w:i w:val="0"/>
          <w:strike w:val="0"/>
          <w:noProof w:val="0"/>
          <w:color w:val="000000"/>
          <w:position w:val="0"/>
          <w:sz w:val="20"/>
          <w:u w:val="none"/>
          <w:vertAlign w:val="baseline"/>
        </w:rPr>
        <w:t>, this court explained that an agency's guidance concerning ambiguities in its own regulations is "entitled to deference and [is] controlling unless plainly erroneous or inconsistent with the regulation" in question.</w:t>
      </w:r>
      <w:r>
        <w:rPr>
          <w:rFonts w:ascii="times" w:eastAsia="times" w:hAnsi="times" w:cs="times"/>
          <w:b/>
          <w:i w:val="0"/>
          <w:strike w:val="0"/>
          <w:noProof w:val="0"/>
          <w:color w:val="000000"/>
          <w:position w:val="0"/>
          <w:sz w:val="20"/>
          <w:u w:val="none"/>
          <w:vertAlign w:val="baseline"/>
        </w:rPr>
        <w:t> [*12] </w:t>
      </w:r>
      <w:r>
        <w:rPr>
          <w:rFonts w:ascii="times" w:eastAsia="times" w:hAnsi="times" w:cs="times"/>
          <w:b w:val="0"/>
          <w:i w:val="0"/>
          <w:strike w:val="0"/>
          <w:noProof w:val="0"/>
          <w:color w:val="000000"/>
          <w:position w:val="0"/>
          <w:sz w:val="20"/>
          <w:u w:val="none"/>
          <w:vertAlign w:val="baseline"/>
        </w:rPr>
        <w:t xml:space="preserve"> </w:t>
      </w:r>
      <w:r>
        <w:rPr>
          <w:rFonts w:ascii="times" w:eastAsia="times" w:hAnsi="times" w:cs="times"/>
          <w:b w:val="0"/>
          <w:i/>
          <w:strike w:val="0"/>
          <w:noProof w:val="0"/>
          <w:color w:val="000000"/>
          <w:position w:val="0"/>
          <w:sz w:val="20"/>
          <w:u w:val="none"/>
          <w:vertAlign w:val="baseline"/>
        </w:rPr>
        <w:t xml:space="preserve">See </w:t>
      </w:r>
      <w:bookmarkStart w:id="63" w:name="Bookmark_I64HXDBV28T4Y70020000400"/>
      <w:bookmarkEnd w:id="63"/>
      <w:hyperlink r:id="rId23" w:history="1">
        <w:r>
          <w:rPr>
            <w:rFonts w:ascii="times" w:eastAsia="times" w:hAnsi="times" w:cs="times"/>
            <w:b w:val="0"/>
            <w:i/>
            <w:strike w:val="0"/>
            <w:noProof w:val="0"/>
            <w:color w:val="0077CC"/>
            <w:position w:val="0"/>
            <w:sz w:val="20"/>
            <w:u w:val="single"/>
            <w:shd w:val="clear" w:color="auto" w:fill="FFFFFF"/>
            <w:vertAlign w:val="baseline"/>
          </w:rPr>
          <w:t>Linares Huarcaya v. Mukasey</w:t>
        </w:r>
      </w:hyperlink>
      <w:hyperlink r:id="rId23" w:history="1">
        <w:r>
          <w:rPr>
            <w:rFonts w:ascii="times" w:eastAsia="times" w:hAnsi="times" w:cs="times"/>
            <w:b w:val="0"/>
            <w:i w:val="0"/>
            <w:strike w:val="0"/>
            <w:noProof w:val="0"/>
            <w:color w:val="0077CC"/>
            <w:position w:val="0"/>
            <w:sz w:val="20"/>
            <w:u w:val="single"/>
            <w:shd w:val="clear" w:color="auto" w:fill="FFFFFF"/>
            <w:vertAlign w:val="baseline"/>
          </w:rPr>
          <w:t>, 550 F.3d 224, 229 (2d Cir. 2008)</w:t>
        </w:r>
      </w:hyperlink>
      <w:r>
        <w:rPr>
          <w:rFonts w:ascii="times" w:eastAsia="times" w:hAnsi="times" w:cs="times"/>
          <w:b w:val="0"/>
          <w:i w:val="0"/>
          <w:strike w:val="0"/>
          <w:noProof w:val="0"/>
          <w:color w:val="000000"/>
          <w:position w:val="0"/>
          <w:sz w:val="20"/>
          <w:u w:val="none"/>
          <w:vertAlign w:val="baseline"/>
        </w:rPr>
        <w:t xml:space="preserve"> (internal quotation marks omitted). </w:t>
      </w:r>
      <w:bookmarkStart w:id="64" w:name="Bookmark_I64HXDBV28T4Y70050000400_2"/>
      <w:bookmarkEnd w:id="64"/>
      <w:bookmarkStart w:id="65" w:name="Bookmark_I64HXDBV28T4Y90040000400"/>
      <w:bookmarkEnd w:id="65"/>
      <w:r>
        <w:rPr>
          <w:rFonts w:ascii="times" w:eastAsia="times" w:hAnsi="times" w:cs="times"/>
          <w:b w:val="0"/>
          <w:i w:val="0"/>
          <w:strike w:val="0"/>
          <w:noProof w:val="0"/>
          <w:color w:val="000000"/>
          <w:position w:val="0"/>
          <w:sz w:val="20"/>
          <w:u w:val="none"/>
          <w:vertAlign w:val="baseline"/>
        </w:rPr>
        <w:t xml:space="preserve">More recently, in </w:t>
      </w:r>
      <w:r>
        <w:rPr>
          <w:rFonts w:ascii="times" w:eastAsia="times" w:hAnsi="times" w:cs="times"/>
          <w:b w:val="0"/>
          <w:i/>
          <w:strike w:val="0"/>
          <w:noProof w:val="0"/>
          <w:color w:val="000000"/>
          <w:position w:val="0"/>
          <w:sz w:val="20"/>
          <w:u w:val="none"/>
          <w:vertAlign w:val="baseline"/>
        </w:rPr>
        <w:t>Kisor v. Wilkie</w:t>
      </w:r>
      <w:r>
        <w:rPr>
          <w:rFonts w:ascii="times" w:eastAsia="times" w:hAnsi="times" w:cs="times"/>
          <w:b w:val="0"/>
          <w:i w:val="0"/>
          <w:strike w:val="0"/>
          <w:noProof w:val="0"/>
          <w:color w:val="000000"/>
          <w:position w:val="0"/>
          <w:sz w:val="20"/>
          <w:u w:val="none"/>
          <w:vertAlign w:val="baseline"/>
        </w:rPr>
        <w:t xml:space="preserve">, the Supreme Court clarified that </w:t>
      </w:r>
      <w:bookmarkStart w:id="66" w:name="Bookmark_I64HXDBV28T4Y90040000400_2"/>
      <w:bookmarkEnd w:id="66"/>
      <w:bookmarkStart w:id="67" w:name="Bookmark_I64HXDBV28T4Y70050000400_3"/>
      <w:bookmarkEnd w:id="67"/>
      <w:bookmarkStart w:id="68" w:name="Bookmark_I64HXDBV28T4Y70040000400"/>
      <w:bookmarkEnd w:id="68"/>
      <w:hyperlink r:id="rId22" w:history="1">
        <w:r>
          <w:rPr>
            <w:rFonts w:ascii="times" w:eastAsia="times" w:hAnsi="times" w:cs="times"/>
            <w:b w:val="0"/>
            <w:i w:val="0"/>
            <w:strike w:val="0"/>
            <w:noProof w:val="0"/>
            <w:color w:val="0077CC"/>
            <w:position w:val="0"/>
            <w:sz w:val="20"/>
            <w:u w:val="single"/>
            <w:shd w:val="clear" w:color="auto" w:fill="FFFFFF"/>
            <w:vertAlign w:val="baseline"/>
          </w:rPr>
          <w:t>Auer</w:t>
        </w:r>
      </w:hyperlink>
      <w:r>
        <w:rPr>
          <w:rFonts w:ascii="times" w:eastAsia="times" w:hAnsi="times" w:cs="times"/>
          <w:b w:val="0"/>
          <w:i w:val="0"/>
          <w:strike w:val="0"/>
          <w:noProof w:val="0"/>
          <w:color w:val="000000"/>
          <w:position w:val="0"/>
          <w:sz w:val="20"/>
          <w:u w:val="none"/>
          <w:vertAlign w:val="baseline"/>
        </w:rPr>
        <w:t xml:space="preserve"> deference is warranted only when the agency's interpretation "reflect[s] [the] agency's authoritative, expertise-based, fair, or considered judgment." </w:t>
      </w:r>
      <w:bookmarkStart w:id="69" w:name="Bookmark_I64HXDBV28T4Y90010000400"/>
      <w:bookmarkEnd w:id="69"/>
      <w:hyperlink r:id="rId24" w:history="1">
        <w:r>
          <w:rPr>
            <w:rFonts w:ascii="times" w:eastAsia="times" w:hAnsi="times" w:cs="times"/>
            <w:b w:val="0"/>
            <w:i w:val="0"/>
            <w:strike w:val="0"/>
            <w:noProof w:val="0"/>
            <w:color w:val="0077CC"/>
            <w:position w:val="0"/>
            <w:sz w:val="20"/>
            <w:u w:val="single"/>
            <w:shd w:val="clear" w:color="auto" w:fill="FFFFFF"/>
            <w:vertAlign w:val="baseline"/>
          </w:rPr>
          <w:t>139 S. Ct. 2400, 2414, 204 L. Ed. 2d 841 (2019)</w:t>
        </w:r>
      </w:hyperlink>
      <w:r>
        <w:rPr>
          <w:rFonts w:ascii="times" w:eastAsia="times" w:hAnsi="times" w:cs="times"/>
          <w:b w:val="0"/>
          <w:i w:val="0"/>
          <w:strike w:val="0"/>
          <w:noProof w:val="0"/>
          <w:color w:val="000000"/>
          <w:position w:val="0"/>
          <w:sz w:val="20"/>
          <w:u w:val="none"/>
          <w:vertAlign w:val="baseline"/>
        </w:rPr>
        <w:t xml:space="preserve"> (internal quotation marks and alteration omitted). Whether an interpretation qualifies for such deference requires a court to "make an independent inquiry into whether the character and context of the agency interpretation entitles it to controlling weight." </w:t>
      </w:r>
      <w:bookmarkStart w:id="70" w:name="Bookmark_I64HXDBV28T4Y90030000400"/>
      <w:bookmarkEnd w:id="70"/>
      <w:hyperlink r:id="rId24" w:history="1">
        <w:r>
          <w:rPr>
            <w:rFonts w:ascii="times" w:eastAsia="times" w:hAnsi="times" w:cs="times"/>
            <w:b w:val="0"/>
            <w:i/>
            <w:strike w:val="0"/>
            <w:noProof w:val="0"/>
            <w:color w:val="0077CC"/>
            <w:position w:val="0"/>
            <w:sz w:val="20"/>
            <w:u w:val="single"/>
            <w:shd w:val="clear" w:color="auto" w:fill="FFFFFF"/>
            <w:vertAlign w:val="baseline"/>
          </w:rPr>
          <w:t>Id.</w:t>
        </w:r>
      </w:hyperlink>
      <w:hyperlink r:id="rId24" w:history="1">
        <w:r>
          <w:rPr>
            <w:rFonts w:ascii="times" w:eastAsia="times" w:hAnsi="times" w:cs="times"/>
            <w:b w:val="0"/>
            <w:i w:val="0"/>
            <w:strike w:val="0"/>
            <w:noProof w:val="0"/>
            <w:color w:val="0077CC"/>
            <w:position w:val="0"/>
            <w:sz w:val="20"/>
            <w:u w:val="single"/>
            <w:shd w:val="clear" w:color="auto" w:fill="FFFFFF"/>
            <w:vertAlign w:val="baseline"/>
          </w:rPr>
          <w:t xml:space="preserve"> at 2416</w:t>
        </w:r>
      </w:hyperlink>
      <w:r>
        <w:rPr>
          <w:rFonts w:ascii="times" w:eastAsia="times" w:hAnsi="times" w:cs="times"/>
          <w:b w:val="0"/>
          <w:i w:val="0"/>
          <w:strike w:val="0"/>
          <w:noProof w:val="0"/>
          <w:color w:val="000000"/>
          <w:position w:val="0"/>
          <w:sz w:val="20"/>
          <w:u w:val="none"/>
          <w:vertAlign w:val="baseline"/>
        </w:rPr>
        <w:t xml:space="preserve">. Accordingly, to the extent that this Court finds RESPA and </w:t>
      </w:r>
      <w:hyperlink r:id="rId11" w:history="1">
        <w:r>
          <w:rPr>
            <w:rFonts w:ascii="times" w:eastAsia="times" w:hAnsi="times" w:cs="times"/>
            <w:b w:val="0"/>
            <w:i w:val="0"/>
            <w:strike w:val="0"/>
            <w:noProof w:val="0"/>
            <w:color w:val="0077CC"/>
            <w:position w:val="0"/>
            <w:sz w:val="20"/>
            <w:u w:val="single"/>
            <w:shd w:val="clear" w:color="auto" w:fill="FFFFFF"/>
            <w:vertAlign w:val="baseline"/>
          </w:rPr>
          <w:t>Regulation X</w:t>
        </w:r>
      </w:hyperlink>
      <w:r>
        <w:rPr>
          <w:rFonts w:ascii="times" w:eastAsia="times" w:hAnsi="times" w:cs="times"/>
          <w:b w:val="0"/>
          <w:i w:val="0"/>
          <w:strike w:val="0"/>
          <w:noProof w:val="0"/>
          <w:color w:val="000000"/>
          <w:position w:val="0"/>
          <w:sz w:val="20"/>
          <w:u w:val="none"/>
          <w:vertAlign w:val="baseline"/>
        </w:rPr>
        <w:t xml:space="preserve"> to be ambiguous, the CFPB's interpretation of the scope of the catch-all provision might be entitled to deference.</w:t>
      </w:r>
    </w:p>
    <w:p>
      <w:pPr>
        <w:keepNext w:val="0"/>
        <w:widowControl w:val="0"/>
        <w:spacing w:before="240" w:after="0" w:line="260" w:lineRule="atLeast"/>
        <w:ind w:left="0" w:right="0" w:firstLine="0"/>
        <w:jc w:val="both"/>
      </w:pPr>
      <w:bookmarkStart w:id="71" w:name="Bookmark_para_25"/>
      <w:bookmarkEnd w:id="71"/>
      <w:r>
        <w:rPr>
          <w:rFonts w:ascii="times" w:eastAsia="times" w:hAnsi="times" w:cs="times"/>
          <w:b w:val="0"/>
          <w:i w:val="0"/>
          <w:strike w:val="0"/>
          <w:noProof w:val="0"/>
          <w:color w:val="000000"/>
          <w:position w:val="0"/>
          <w:sz w:val="20"/>
          <w:u w:val="none"/>
          <w:vertAlign w:val="baseline"/>
        </w:rPr>
        <w:t xml:space="preserve">However, as will become clear, we do not find the provisions in question to be ambiguous. </w:t>
      </w:r>
      <w:bookmarkStart w:id="72" w:name="Bookmark_I64HXDBV2D6N6V0010000400"/>
      <w:bookmarkEnd w:id="72"/>
      <w:r>
        <w:rPr>
          <w:rFonts w:ascii="times" w:eastAsia="times" w:hAnsi="times" w:cs="times"/>
          <w:b w:val="0"/>
          <w:i/>
          <w:strike w:val="0"/>
          <w:noProof w:val="0"/>
          <w:color w:val="000000"/>
          <w:position w:val="0"/>
          <w:sz w:val="20"/>
          <w:u w:val="none"/>
          <w:vertAlign w:val="baseline"/>
        </w:rPr>
        <w:t>See infra</w:t>
      </w:r>
      <w:r>
        <w:rPr>
          <w:rFonts w:ascii="times" w:eastAsia="times" w:hAnsi="times" w:cs="times"/>
          <w:b w:val="0"/>
          <w:i w:val="0"/>
          <w:strike w:val="0"/>
          <w:noProof w:val="0"/>
          <w:color w:val="000000"/>
          <w:position w:val="0"/>
          <w:sz w:val="20"/>
          <w:u w:val="none"/>
          <w:vertAlign w:val="baseline"/>
        </w:rPr>
        <w:t xml:space="preserve"> at 15-16. Instead, our reading of the Regulation generates the conclusion that the catch-all provision includes the kind of errors that Naimoli raised. Accordingly, we see no ambiguity that would require us to consider the reasonableness of the CFPB's interpretation under </w:t>
      </w:r>
      <w:bookmarkStart w:id="73" w:name="Bookmark_I64HXDBV2D6N6V0010000400_2"/>
      <w:bookmarkEnd w:id="73"/>
      <w:bookmarkStart w:id="74" w:name="Bookmark_I64HXDBV28T4Y90050000400"/>
      <w:bookmarkEnd w:id="74"/>
      <w:hyperlink r:id="rId20" w:history="1">
        <w:r>
          <w:rPr>
            <w:rFonts w:ascii="times" w:eastAsia="times" w:hAnsi="times" w:cs="times"/>
            <w:b w:val="0"/>
            <w:i w:val="0"/>
            <w:strike w:val="0"/>
            <w:noProof w:val="0"/>
            <w:color w:val="0077CC"/>
            <w:position w:val="0"/>
            <w:sz w:val="20"/>
            <w:u w:val="single"/>
            <w:shd w:val="clear" w:color="auto" w:fill="FFFFFF"/>
            <w:vertAlign w:val="baseline"/>
          </w:rPr>
          <w:t>Chevron</w:t>
        </w:r>
      </w:hyperlink>
      <w:r>
        <w:rPr>
          <w:rFonts w:ascii="times" w:eastAsia="times" w:hAnsi="times" w:cs="times"/>
          <w:b w:val="0"/>
          <w:i w:val="0"/>
          <w:strike w:val="0"/>
          <w:noProof w:val="0"/>
          <w:color w:val="000000"/>
          <w:position w:val="0"/>
          <w:sz w:val="20"/>
          <w:u w:val="none"/>
          <w:vertAlign w:val="baseline"/>
        </w:rPr>
        <w:t xml:space="preserve"> or </w:t>
      </w:r>
      <w:bookmarkStart w:id="75" w:name="Bookmark_I64HXDBV2D6N6V0020000400"/>
      <w:bookmarkEnd w:id="75"/>
      <w:hyperlink r:id="rId22" w:history="1">
        <w:r>
          <w:rPr>
            <w:rFonts w:ascii="times" w:eastAsia="times" w:hAnsi="times" w:cs="times"/>
            <w:b w:val="0"/>
            <w:i w:val="0"/>
            <w:strike w:val="0"/>
            <w:noProof w:val="0"/>
            <w:color w:val="0077CC"/>
            <w:position w:val="0"/>
            <w:sz w:val="20"/>
            <w:u w:val="single"/>
            <w:shd w:val="clear" w:color="auto" w:fill="FFFFFF"/>
            <w:vertAlign w:val="baseline"/>
          </w:rPr>
          <w:t>Auer</w:t>
        </w:r>
      </w:hyperlink>
      <w:r>
        <w:rPr>
          <w:rFonts w:ascii="times" w:eastAsia="times" w:hAnsi="times" w:cs="times"/>
          <w:b w:val="0"/>
          <w:i w:val="0"/>
          <w:strike w:val="0"/>
          <w:noProof w:val="0"/>
          <w:color w:val="000000"/>
          <w:position w:val="0"/>
          <w:sz w:val="20"/>
          <w:u w:val="none"/>
          <w:vertAlign w:val="baseline"/>
        </w:rPr>
        <w:t>.</w:t>
      </w:r>
    </w:p>
    <w:p>
      <w:pPr>
        <w:keepNext w:val="0"/>
        <w:widowControl w:val="0"/>
        <w:spacing w:before="240" w:after="0" w:line="260" w:lineRule="atLeast"/>
        <w:ind w:left="0" w:right="0" w:firstLine="0"/>
        <w:jc w:val="both"/>
      </w:pPr>
      <w:bookmarkStart w:id="76" w:name="Bookmark_para_26"/>
      <w:bookmarkEnd w:id="76"/>
      <w:r>
        <w:rPr>
          <w:rFonts w:ascii="times" w:eastAsia="times" w:hAnsi="times" w:cs="times"/>
          <w:b w:val="0"/>
          <w:i w:val="0"/>
          <w:strike w:val="0"/>
          <w:noProof w:val="0"/>
          <w:color w:val="000000"/>
          <w:position w:val="0"/>
          <w:sz w:val="20"/>
          <w:u w:val="none"/>
          <w:vertAlign w:val="baseline"/>
        </w:rPr>
        <w:t xml:space="preserve">We therefore conclude that the district court erred in holding that Naimoli's asserted errors were not covered by </w:t>
      </w:r>
      <w:hyperlink r:id="rId11" w:history="1">
        <w:r>
          <w:rPr>
            <w:rFonts w:ascii="times" w:eastAsia="times" w:hAnsi="times" w:cs="times"/>
            <w:b w:val="0"/>
            <w:i w:val="0"/>
            <w:strike w:val="0"/>
            <w:noProof w:val="0"/>
            <w:color w:val="0077CC"/>
            <w:position w:val="0"/>
            <w:sz w:val="20"/>
            <w:u w:val="single"/>
            <w:shd w:val="clear" w:color="auto" w:fill="FFFFFF"/>
            <w:vertAlign w:val="baseline"/>
          </w:rPr>
          <w:t>§ 1024.35(b)</w:t>
        </w:r>
      </w:hyperlink>
      <w:r>
        <w:rPr>
          <w:rFonts w:ascii="times" w:eastAsia="times" w:hAnsi="times" w:cs="times"/>
          <w:b w:val="0"/>
          <w:i w:val="0"/>
          <w:strike w:val="0"/>
          <w:noProof w:val="0"/>
          <w:color w:val="000000"/>
          <w:position w:val="0"/>
          <w:sz w:val="20"/>
          <w:u w:val="none"/>
          <w:vertAlign w:val="baseline"/>
        </w:rPr>
        <w:t>'s catch-all</w:t>
      </w:r>
      <w:r>
        <w:rPr>
          <w:rFonts w:ascii="times" w:eastAsia="times" w:hAnsi="times" w:cs="times"/>
          <w:b/>
          <w:i w:val="0"/>
          <w:strike w:val="0"/>
          <w:noProof w:val="0"/>
          <w:color w:val="000000"/>
          <w:position w:val="0"/>
          <w:sz w:val="20"/>
          <w:u w:val="none"/>
          <w:vertAlign w:val="baseline"/>
        </w:rPr>
        <w:t> [*13] </w:t>
      </w:r>
      <w:r>
        <w:rPr>
          <w:rFonts w:ascii="times" w:eastAsia="times" w:hAnsi="times" w:cs="times"/>
          <w:b w:val="0"/>
          <w:i w:val="0"/>
          <w:strike w:val="0"/>
          <w:noProof w:val="0"/>
          <w:color w:val="000000"/>
          <w:position w:val="0"/>
          <w:sz w:val="20"/>
          <w:u w:val="none"/>
          <w:vertAlign w:val="baseline"/>
        </w:rPr>
        <w:t xml:space="preserve"> provision. Contrary to the district court's ruling, our reading of </w:t>
      </w:r>
      <w:hyperlink r:id="rId11" w:history="1">
        <w:r>
          <w:rPr>
            <w:rFonts w:ascii="times" w:eastAsia="times" w:hAnsi="times" w:cs="times"/>
            <w:b w:val="0"/>
            <w:i w:val="0"/>
            <w:strike w:val="0"/>
            <w:noProof w:val="0"/>
            <w:color w:val="0077CC"/>
            <w:position w:val="0"/>
            <w:sz w:val="20"/>
            <w:u w:val="single"/>
            <w:shd w:val="clear" w:color="auto" w:fill="FFFFFF"/>
            <w:vertAlign w:val="baseline"/>
          </w:rPr>
          <w:t>Regulation X</w:t>
        </w:r>
      </w:hyperlink>
      <w:r>
        <w:rPr>
          <w:rFonts w:ascii="times" w:eastAsia="times" w:hAnsi="times" w:cs="times"/>
          <w:b w:val="0"/>
          <w:i w:val="0"/>
          <w:strike w:val="0"/>
          <w:noProof w:val="0"/>
          <w:color w:val="000000"/>
          <w:position w:val="0"/>
          <w:sz w:val="20"/>
          <w:u w:val="none"/>
          <w:vertAlign w:val="baseline"/>
        </w:rPr>
        <w:t xml:space="preserve"> yields the conclusion that where a loan servicer mishandles loan documents in the manner Naimoli alleges here, a covered error has occurred. </w:t>
      </w:r>
      <w:bookmarkStart w:id="77" w:name="Bookmark_LNHNREFclscc4"/>
      <w:bookmarkEnd w:id="77"/>
      <w:r>
        <w:rPr>
          <w:rFonts w:ascii="times" w:eastAsia="times" w:hAnsi="times" w:cs="times"/>
          <w:b w:val="0"/>
          <w:i w:val="0"/>
          <w:strike w:val="0"/>
          <w:noProof w:val="0"/>
          <w:color w:val="000000"/>
          <w:position w:val="0"/>
          <w:sz w:val="20"/>
          <w:u w:val="none"/>
          <w:vertAlign w:val="baseline"/>
        </w:rPr>
        <w:t xml:space="preserve">As noted, </w:t>
      </w:r>
      <w:hyperlink r:id="rId11" w:history="1">
        <w:r>
          <w:rPr>
            <w:rFonts w:ascii="times" w:eastAsia="times" w:hAnsi="times" w:cs="times"/>
            <w:b w:val="0"/>
            <w:i w:val="0"/>
            <w:strike w:val="0"/>
            <w:noProof w:val="0"/>
            <w:color w:val="0077CC"/>
            <w:position w:val="0"/>
            <w:sz w:val="20"/>
            <w:u w:val="single"/>
            <w:shd w:val="clear" w:color="auto" w:fill="FFFFFF"/>
            <w:vertAlign w:val="baseline"/>
          </w:rPr>
          <w:t>Regulation X</w:t>
        </w:r>
      </w:hyperlink>
      <w:r>
        <w:rPr>
          <w:rFonts w:ascii="times" w:eastAsia="times" w:hAnsi="times" w:cs="times"/>
          <w:b w:val="0"/>
          <w:i w:val="0"/>
          <w:strike w:val="0"/>
          <w:noProof w:val="0"/>
          <w:color w:val="000000"/>
          <w:position w:val="0"/>
          <w:sz w:val="20"/>
          <w:u w:val="none"/>
          <w:vertAlign w:val="baseline"/>
        </w:rPr>
        <w:t xml:space="preserve"> requires loan servicers to respond to "any written notice from the borrower that asserts an error and that includes . . . information that enables the servicer to identify the borrower's mortgage loan account, and the error the borrower believes has occurred." </w:t>
      </w:r>
      <w:hyperlink r:id="rId11" w:history="1">
        <w:r>
          <w:rPr>
            <w:rFonts w:ascii="times" w:eastAsia="times" w:hAnsi="times" w:cs="times"/>
            <w:b w:val="0"/>
            <w:i w:val="0"/>
            <w:strike w:val="0"/>
            <w:noProof w:val="0"/>
            <w:color w:val="0077CC"/>
            <w:position w:val="0"/>
            <w:sz w:val="20"/>
            <w:u w:val="single"/>
            <w:shd w:val="clear" w:color="auto" w:fill="FFFFFF"/>
            <w:vertAlign w:val="baseline"/>
          </w:rPr>
          <w:t>12 C.F.R. § 1024.35(a)</w:t>
        </w:r>
      </w:hyperlink>
      <w:r>
        <w:rPr>
          <w:rFonts w:ascii="times" w:eastAsia="times" w:hAnsi="times" w:cs="times"/>
          <w:b w:val="0"/>
          <w:i w:val="0"/>
          <w:strike w:val="0"/>
          <w:noProof w:val="0"/>
          <w:color w:val="000000"/>
          <w:position w:val="0"/>
          <w:sz w:val="20"/>
          <w:u w:val="none"/>
          <w:vertAlign w:val="baseline"/>
        </w:rPr>
        <w:t xml:space="preserve">. However, this obligation is triggered only if the asserted error is covered by </w:t>
      </w:r>
      <w:hyperlink r:id="rId11" w:history="1">
        <w:r>
          <w:rPr>
            <w:rFonts w:ascii="times" w:eastAsia="times" w:hAnsi="times" w:cs="times"/>
            <w:b w:val="0"/>
            <w:i w:val="0"/>
            <w:strike w:val="0"/>
            <w:noProof w:val="0"/>
            <w:color w:val="0077CC"/>
            <w:position w:val="0"/>
            <w:sz w:val="20"/>
            <w:u w:val="single"/>
            <w:shd w:val="clear" w:color="auto" w:fill="FFFFFF"/>
            <w:vertAlign w:val="baseline"/>
          </w:rPr>
          <w:t>§ 1024.35(b)</w:t>
        </w:r>
      </w:hyperlink>
      <w:r>
        <w:rPr>
          <w:rFonts w:ascii="times" w:eastAsia="times" w:hAnsi="times" w:cs="times"/>
          <w:b w:val="0"/>
          <w:i w:val="0"/>
          <w:strike w:val="0"/>
          <w:noProof w:val="0"/>
          <w:color w:val="000000"/>
          <w:position w:val="0"/>
          <w:sz w:val="20"/>
          <w:u w:val="none"/>
          <w:vertAlign w:val="baseline"/>
        </w:rPr>
        <w:t>, which includes "[</w:t>
      </w:r>
      <w:r>
        <w:rPr>
          <w:rFonts w:ascii="times" w:eastAsia="times" w:hAnsi="times" w:cs="times"/>
          <w:b w:val="0"/>
          <w:i/>
          <w:strike w:val="0"/>
          <w:noProof w:val="0"/>
          <w:color w:val="000000"/>
          <w:position w:val="0"/>
          <w:sz w:val="20"/>
          <w:u w:val="none"/>
          <w:vertAlign w:val="baseline"/>
        </w:rPr>
        <w:t>a</w:t>
      </w:r>
      <w:r>
        <w:rPr>
          <w:rFonts w:ascii="times" w:eastAsia="times" w:hAnsi="times" w:cs="times"/>
          <w:b w:val="0"/>
          <w:i w:val="0"/>
          <w:strike w:val="0"/>
          <w:noProof w:val="0"/>
          <w:color w:val="000000"/>
          <w:position w:val="0"/>
          <w:sz w:val="20"/>
          <w:u w:val="none"/>
          <w:vertAlign w:val="baseline"/>
        </w:rPr>
        <w:t>]</w:t>
      </w:r>
      <w:r>
        <w:rPr>
          <w:rFonts w:ascii="times" w:eastAsia="times" w:hAnsi="times" w:cs="times"/>
          <w:b w:val="0"/>
          <w:i/>
          <w:strike w:val="0"/>
          <w:noProof w:val="0"/>
          <w:color w:val="000000"/>
          <w:position w:val="0"/>
          <w:sz w:val="20"/>
          <w:u w:val="none"/>
          <w:vertAlign w:val="baseline"/>
        </w:rPr>
        <w:t>ny</w:t>
      </w:r>
      <w:r>
        <w:rPr>
          <w:rFonts w:ascii="times" w:eastAsia="times" w:hAnsi="times" w:cs="times"/>
          <w:b w:val="0"/>
          <w:i w:val="0"/>
          <w:strike w:val="0"/>
          <w:noProof w:val="0"/>
          <w:color w:val="000000"/>
          <w:position w:val="0"/>
          <w:sz w:val="20"/>
          <w:u w:val="none"/>
          <w:vertAlign w:val="baseline"/>
        </w:rPr>
        <w:t xml:space="preserve"> other error </w:t>
      </w:r>
      <w:r>
        <w:rPr>
          <w:rFonts w:ascii="times" w:eastAsia="times" w:hAnsi="times" w:cs="times"/>
          <w:b w:val="0"/>
          <w:i/>
          <w:strike w:val="0"/>
          <w:noProof w:val="0"/>
          <w:color w:val="000000"/>
          <w:position w:val="0"/>
          <w:sz w:val="20"/>
          <w:u w:val="none"/>
          <w:vertAlign w:val="baseline"/>
        </w:rPr>
        <w:t>relating to</w:t>
      </w:r>
      <w:r>
        <w:rPr>
          <w:rFonts w:ascii="times" w:eastAsia="times" w:hAnsi="times" w:cs="times"/>
          <w:b w:val="0"/>
          <w:i w:val="0"/>
          <w:strike w:val="0"/>
          <w:noProof w:val="0"/>
          <w:color w:val="000000"/>
          <w:position w:val="0"/>
          <w:sz w:val="20"/>
          <w:u w:val="none"/>
          <w:vertAlign w:val="baseline"/>
        </w:rPr>
        <w:t xml:space="preserve"> the servicing of a borrower's mortgage loan." </w:t>
      </w:r>
      <w:r>
        <w:rPr>
          <w:rFonts w:ascii="times" w:eastAsia="times" w:hAnsi="times" w:cs="times"/>
          <w:b w:val="0"/>
          <w:i/>
          <w:strike w:val="0"/>
          <w:noProof w:val="0"/>
          <w:color w:val="000000"/>
          <w:position w:val="0"/>
          <w:sz w:val="20"/>
          <w:u w:val="none"/>
          <w:vertAlign w:val="baseline"/>
        </w:rPr>
        <w:t>Id.</w:t>
      </w:r>
      <w:r>
        <w:rPr>
          <w:rFonts w:ascii="times" w:eastAsia="times" w:hAnsi="times" w:cs="times"/>
          <w:b w:val="0"/>
          <w:i w:val="0"/>
          <w:strike w:val="0"/>
          <w:noProof w:val="0"/>
          <w:color w:val="000000"/>
          <w:position w:val="0"/>
          <w:sz w:val="20"/>
          <w:u w:val="none"/>
          <w:vertAlign w:val="baseline"/>
        </w:rPr>
        <w:t xml:space="preserve"> </w:t>
      </w:r>
      <w:hyperlink r:id="rId11" w:history="1">
        <w:r>
          <w:rPr>
            <w:rFonts w:ascii="times" w:eastAsia="times" w:hAnsi="times" w:cs="times"/>
            <w:b w:val="0"/>
            <w:i w:val="0"/>
            <w:strike w:val="0"/>
            <w:noProof w:val="0"/>
            <w:color w:val="0077CC"/>
            <w:position w:val="0"/>
            <w:sz w:val="20"/>
            <w:u w:val="single"/>
            <w:shd w:val="clear" w:color="auto" w:fill="FFFFFF"/>
            <w:vertAlign w:val="baseline"/>
          </w:rPr>
          <w:t>§ 1024.35(b)(11)</w:t>
        </w:r>
      </w:hyperlink>
      <w:r>
        <w:rPr>
          <w:rFonts w:ascii="times" w:eastAsia="times" w:hAnsi="times" w:cs="times"/>
          <w:b w:val="0"/>
          <w:i w:val="0"/>
          <w:strike w:val="0"/>
          <w:noProof w:val="0"/>
          <w:color w:val="000000"/>
          <w:position w:val="0"/>
          <w:sz w:val="20"/>
          <w:u w:val="none"/>
          <w:vertAlign w:val="baseline"/>
        </w:rPr>
        <w:t xml:space="preserve"> (emphasis added).</w:t>
      </w:r>
    </w:p>
    <w:p>
      <w:pPr>
        <w:keepNext w:val="0"/>
        <w:widowControl w:val="0"/>
        <w:spacing w:before="240" w:after="0" w:line="260" w:lineRule="atLeast"/>
        <w:ind w:left="0" w:right="0" w:firstLine="0"/>
        <w:jc w:val="both"/>
      </w:pPr>
      <w:bookmarkStart w:id="78" w:name="Bookmark_para_27"/>
      <w:bookmarkEnd w:id="78"/>
      <w:r>
        <w:rPr>
          <w:rFonts w:ascii="times" w:eastAsia="times" w:hAnsi="times" w:cs="times"/>
          <w:b w:val="0"/>
          <w:i w:val="0"/>
          <w:strike w:val="0"/>
          <w:noProof w:val="0"/>
          <w:color w:val="000000"/>
          <w:position w:val="0"/>
          <w:sz w:val="20"/>
          <w:u w:val="none"/>
          <w:vertAlign w:val="baseline"/>
        </w:rPr>
        <w:t xml:space="preserve">Both "any" and "relating to" are capacious terms. </w:t>
      </w:r>
      <w:bookmarkStart w:id="79" w:name="Bookmark_I64HXDBV2D6N6V0050000400"/>
      <w:bookmarkEnd w:id="79"/>
      <w:r>
        <w:rPr>
          <w:rFonts w:ascii="times" w:eastAsia="times" w:hAnsi="times" w:cs="times"/>
          <w:b w:val="0"/>
          <w:i w:val="0"/>
          <w:strike w:val="0"/>
          <w:noProof w:val="0"/>
          <w:color w:val="000000"/>
          <w:position w:val="0"/>
          <w:sz w:val="20"/>
          <w:u w:val="none"/>
          <w:vertAlign w:val="baseline"/>
        </w:rPr>
        <w:t xml:space="preserve">By way of comparison, the regulation does not limit the catch-all provision's application to errors "in" the servicing of a consumer loan, which would mean that only errors directly involved with loan servicing would be covered. </w:t>
      </w:r>
      <w:bookmarkStart w:id="80" w:name="Bookmark_LNHNREFclscc5"/>
      <w:bookmarkEnd w:id="80"/>
      <w:r>
        <w:rPr>
          <w:rFonts w:ascii="times" w:eastAsia="times" w:hAnsi="times" w:cs="times"/>
          <w:b w:val="0"/>
          <w:i w:val="0"/>
          <w:strike w:val="0"/>
          <w:noProof w:val="0"/>
          <w:color w:val="000000"/>
          <w:position w:val="0"/>
          <w:sz w:val="20"/>
          <w:u w:val="none"/>
          <w:vertAlign w:val="baseline"/>
        </w:rPr>
        <w:t xml:space="preserve">Instead, the regulation utilizes the broad term "relating to." We read this to mean that any error that has some connection with or pertains to loan servicing is covered (except of course where the regulation specifically excludes an error). </w:t>
      </w:r>
      <w:r>
        <w:rPr>
          <w:rFonts w:ascii="times" w:eastAsia="times" w:hAnsi="times" w:cs="times"/>
          <w:b/>
          <w:i/>
          <w:strike w:val="0"/>
          <w:noProof w:val="0"/>
          <w:color w:val="000000"/>
          <w:position w:val="0"/>
          <w:sz w:val="20"/>
          <w:u w:val="none"/>
          <w:vertAlign w:val="baseline"/>
        </w:rPr>
        <w:t> [*14] </w:t>
      </w:r>
      <w:r>
        <w:rPr>
          <w:rFonts w:ascii="times" w:eastAsia="times" w:hAnsi="times" w:cs="times"/>
          <w:b w:val="0"/>
          <w:i/>
          <w:strike w:val="0"/>
          <w:noProof w:val="0"/>
          <w:color w:val="000000"/>
          <w:position w:val="0"/>
          <w:sz w:val="20"/>
          <w:u w:val="none"/>
          <w:vertAlign w:val="baseline"/>
        </w:rPr>
        <w:t xml:space="preserve">See </w:t>
      </w:r>
      <w:bookmarkStart w:id="81" w:name="Bookmark_I64HXDBV2D6N6V0040000400"/>
      <w:bookmarkEnd w:id="81"/>
      <w:hyperlink r:id="rId25" w:history="1">
        <w:r>
          <w:rPr>
            <w:rFonts w:ascii="times" w:eastAsia="times" w:hAnsi="times" w:cs="times"/>
            <w:b w:val="0"/>
            <w:i/>
            <w:strike w:val="0"/>
            <w:noProof w:val="0"/>
            <w:color w:val="0077CC"/>
            <w:position w:val="0"/>
            <w:sz w:val="20"/>
            <w:u w:val="single"/>
            <w:shd w:val="clear" w:color="auto" w:fill="FFFFFF"/>
            <w:vertAlign w:val="baseline"/>
          </w:rPr>
          <w:t>Morales v. Trans World Airlines, Inc.</w:t>
        </w:r>
      </w:hyperlink>
      <w:hyperlink r:id="rId25" w:history="1">
        <w:r>
          <w:rPr>
            <w:rFonts w:ascii="times" w:eastAsia="times" w:hAnsi="times" w:cs="times"/>
            <w:b w:val="0"/>
            <w:i w:val="0"/>
            <w:strike w:val="0"/>
            <w:noProof w:val="0"/>
            <w:color w:val="0077CC"/>
            <w:position w:val="0"/>
            <w:sz w:val="20"/>
            <w:u w:val="single"/>
            <w:shd w:val="clear" w:color="auto" w:fill="FFFFFF"/>
            <w:vertAlign w:val="baseline"/>
          </w:rPr>
          <w:t>, 504 U.S. 374, 383, 112 S. Ct. 2031, 119 L. Ed. 2d 157 (1992)</w:t>
        </w:r>
      </w:hyperlink>
      <w:r>
        <w:rPr>
          <w:rFonts w:ascii="times" w:eastAsia="times" w:hAnsi="times" w:cs="times"/>
          <w:b w:val="0"/>
          <w:i w:val="0"/>
          <w:strike w:val="0"/>
          <w:noProof w:val="0"/>
          <w:color w:val="000000"/>
          <w:position w:val="0"/>
          <w:sz w:val="20"/>
          <w:u w:val="none"/>
          <w:vertAlign w:val="baseline"/>
        </w:rPr>
        <w:t xml:space="preserve"> (noting that the "ordinary meaning" of "relating to" is "to stand in some relation; to have bearing or concern; to pertain; refer; to bring into association with or connection with").</w:t>
      </w:r>
    </w:p>
    <w:p>
      <w:pPr>
        <w:keepNext w:val="0"/>
        <w:widowControl w:val="0"/>
        <w:spacing w:before="240" w:after="0" w:line="260" w:lineRule="atLeast"/>
        <w:ind w:left="0" w:right="0" w:firstLine="0"/>
        <w:jc w:val="both"/>
      </w:pPr>
      <w:bookmarkStart w:id="82" w:name="Bookmark_para_28"/>
      <w:bookmarkEnd w:id="82"/>
      <w:r>
        <w:rPr>
          <w:rFonts w:ascii="times" w:eastAsia="times" w:hAnsi="times" w:cs="times"/>
          <w:b w:val="0"/>
          <w:i w:val="0"/>
          <w:strike w:val="0"/>
          <w:noProof w:val="0"/>
          <w:color w:val="000000"/>
          <w:position w:val="0"/>
          <w:sz w:val="20"/>
          <w:u w:val="none"/>
          <w:vertAlign w:val="baseline"/>
        </w:rPr>
        <w:t xml:space="preserve">We conclude that Naimoli's NOE "relates to" the servicing of her loan. </w:t>
      </w:r>
      <w:bookmarkStart w:id="83" w:name="Bookmark_LNHNREFclscc6"/>
      <w:bookmarkEnd w:id="83"/>
      <w:r>
        <w:rPr>
          <w:rFonts w:ascii="times" w:eastAsia="times" w:hAnsi="times" w:cs="times"/>
          <w:b w:val="0"/>
          <w:i w:val="0"/>
          <w:strike w:val="0"/>
          <w:noProof w:val="0"/>
          <w:color w:val="000000"/>
          <w:position w:val="0"/>
          <w:sz w:val="20"/>
          <w:u w:val="none"/>
          <w:vertAlign w:val="baseline"/>
        </w:rPr>
        <w:t xml:space="preserve">RESPA defines "servicing" as "receiving any scheduled periodic payments from a borrower pursuant to the terms of any federally related mortgage loan . . . and making the payments to the owner of the loan or other third parties of principal and interest and such other payments with respect to the amounts received from the borrower as may be required pursuant to the terms of the mortgage servicing loan documents or servicing contract." </w:t>
      </w:r>
      <w:hyperlink r:id="rId26" w:history="1">
        <w:r>
          <w:rPr>
            <w:rFonts w:ascii="times" w:eastAsia="times" w:hAnsi="times" w:cs="times"/>
            <w:b w:val="0"/>
            <w:i w:val="0"/>
            <w:strike w:val="0"/>
            <w:noProof w:val="0"/>
            <w:color w:val="0077CC"/>
            <w:position w:val="0"/>
            <w:sz w:val="20"/>
            <w:u w:val="single"/>
            <w:shd w:val="clear" w:color="auto" w:fill="FFFFFF"/>
            <w:vertAlign w:val="baseline"/>
          </w:rPr>
          <w:t>12 C.F.R. § 1024.2(b)</w:t>
        </w:r>
      </w:hyperlink>
      <w:r>
        <w:rPr>
          <w:rFonts w:ascii="times" w:eastAsia="times" w:hAnsi="times" w:cs="times"/>
          <w:b w:val="0"/>
          <w:i w:val="0"/>
          <w:strike w:val="0"/>
          <w:noProof w:val="0"/>
          <w:color w:val="000000"/>
          <w:position w:val="0"/>
          <w:sz w:val="20"/>
          <w:u w:val="none"/>
          <w:vertAlign w:val="baseline"/>
        </w:rPr>
        <w:t>. In other words, an error is covered by the catch-all provision if it relates to or is connected with either (a) the loan servicer's receipt of payments from borrowers or (b) the loan servicer's making of payments to the loan's owners or third parties.</w:t>
      </w:r>
    </w:p>
    <w:p>
      <w:pPr>
        <w:keepNext w:val="0"/>
        <w:widowControl w:val="0"/>
        <w:spacing w:before="240" w:after="0" w:line="260" w:lineRule="atLeast"/>
        <w:ind w:left="0" w:right="0" w:firstLine="0"/>
        <w:jc w:val="both"/>
      </w:pPr>
      <w:bookmarkStart w:id="84" w:name="Bookmark_para_29"/>
      <w:bookmarkEnd w:id="84"/>
      <w:bookmarkStart w:id="85" w:name="Bookmark_I64HXDBW2D6N6X0020000400"/>
      <w:bookmarkEnd w:id="85"/>
      <w:r>
        <w:rPr>
          <w:rFonts w:ascii="times" w:eastAsia="times" w:hAnsi="times" w:cs="times"/>
          <w:b w:val="0"/>
          <w:i w:val="0"/>
          <w:strike w:val="0"/>
          <w:noProof w:val="0"/>
          <w:color w:val="000000"/>
          <w:position w:val="0"/>
          <w:sz w:val="20"/>
          <w:u w:val="none"/>
          <w:vertAlign w:val="baseline"/>
        </w:rPr>
        <w:t>Naimoli's NOE implicated both of these definitions of servicing. Her notice related to the loan servicer's receipt of payments from borrowers because Ocwen's loss of the loan documents made Naimoli ineligible for the loan modification and new interest</w:t>
      </w:r>
      <w:r>
        <w:rPr>
          <w:rFonts w:ascii="times" w:eastAsia="times" w:hAnsi="times" w:cs="times"/>
          <w:b/>
          <w:i w:val="0"/>
          <w:strike w:val="0"/>
          <w:noProof w:val="0"/>
          <w:color w:val="000000"/>
          <w:position w:val="0"/>
          <w:sz w:val="20"/>
          <w:u w:val="none"/>
          <w:vertAlign w:val="baseline"/>
        </w:rPr>
        <w:t> [*15] </w:t>
      </w:r>
      <w:r>
        <w:rPr>
          <w:rFonts w:ascii="times" w:eastAsia="times" w:hAnsi="times" w:cs="times"/>
          <w:b w:val="0"/>
          <w:i w:val="0"/>
          <w:strike w:val="0"/>
          <w:noProof w:val="0"/>
          <w:color w:val="000000"/>
          <w:position w:val="0"/>
          <w:sz w:val="20"/>
          <w:u w:val="none"/>
          <w:vertAlign w:val="baseline"/>
        </w:rPr>
        <w:t xml:space="preserve"> rate. Naimoli's notice also related to the loan servicer's making of payments to the loan's owners or third parties because Ocwen's failure to record those documents, and thereby preserve the priority of the mortgage lien on Naimoli's home, jeopardized Ocwen's ability to make payments to the loan's owners in the event of a foreclosure. The district court was mistaken, therefore, in concluding that the catch-all provision does not cover "[t]he failure to record instruments" because that error "does not concern servicing" but instead "concerns the modification of the terms of the loan." </w:t>
      </w:r>
      <w:bookmarkStart w:id="86" w:name="Bookmark_I64HXDBW2D6N6X0010000400"/>
      <w:bookmarkEnd w:id="86"/>
      <w:hyperlink r:id="rId12" w:history="1">
        <w:r>
          <w:rPr>
            <w:rFonts w:ascii="times" w:eastAsia="times" w:hAnsi="times" w:cs="times"/>
            <w:b w:val="0"/>
            <w:i/>
            <w:strike w:val="0"/>
            <w:noProof w:val="0"/>
            <w:color w:val="0077CC"/>
            <w:position w:val="0"/>
            <w:sz w:val="20"/>
            <w:u w:val="single"/>
            <w:shd w:val="clear" w:color="auto" w:fill="FFFFFF"/>
            <w:vertAlign w:val="baseline"/>
          </w:rPr>
          <w:t>Naimoli v. Ocwen Loan Serving, LLC</w:t>
        </w:r>
      </w:hyperlink>
      <w:hyperlink r:id="rId12" w:history="1">
        <w:r>
          <w:rPr>
            <w:rFonts w:ascii="times" w:eastAsia="times" w:hAnsi="times" w:cs="times"/>
            <w:b w:val="0"/>
            <w:i w:val="0"/>
            <w:strike w:val="0"/>
            <w:noProof w:val="0"/>
            <w:color w:val="0077CC"/>
            <w:position w:val="0"/>
            <w:sz w:val="20"/>
            <w:u w:val="single"/>
            <w:shd w:val="clear" w:color="auto" w:fill="FFFFFF"/>
            <w:vertAlign w:val="baseline"/>
          </w:rPr>
          <w:t>, No. 6:18-CV-06180, 2020 U.S. Dist. LEXIS 75076, 2020 WL 2059780, at *9 (W.D.N.Y. Apr. 29, 2020)</w:t>
        </w:r>
      </w:hyperlink>
      <w:r>
        <w:rPr>
          <w:rFonts w:ascii="times" w:eastAsia="times" w:hAnsi="times" w:cs="times"/>
          <w:b w:val="0"/>
          <w:i w:val="0"/>
          <w:strike w:val="0"/>
          <w:noProof w:val="0"/>
          <w:color w:val="000000"/>
          <w:position w:val="0"/>
          <w:sz w:val="20"/>
          <w:u w:val="none"/>
          <w:vertAlign w:val="baseline"/>
        </w:rPr>
        <w:t>. In other words, Naimoli's asserted errors "relate to" loan servicing under the Regulation.</w:t>
      </w:r>
    </w:p>
    <w:p>
      <w:pPr>
        <w:keepNext w:val="0"/>
        <w:widowControl w:val="0"/>
        <w:spacing w:before="240" w:after="0" w:line="260" w:lineRule="atLeast"/>
        <w:ind w:left="0" w:right="0" w:firstLine="0"/>
        <w:jc w:val="both"/>
      </w:pPr>
      <w:bookmarkStart w:id="87" w:name="Bookmark_para_30"/>
      <w:bookmarkEnd w:id="87"/>
      <w:r>
        <w:rPr>
          <w:rFonts w:ascii="times" w:eastAsia="times" w:hAnsi="times" w:cs="times"/>
          <w:b w:val="0"/>
          <w:i w:val="0"/>
          <w:strike w:val="0"/>
          <w:noProof w:val="0"/>
          <w:color w:val="000000"/>
          <w:position w:val="0"/>
          <w:sz w:val="20"/>
          <w:u w:val="none"/>
          <w:vertAlign w:val="baseline"/>
        </w:rPr>
        <w:t xml:space="preserve">Moreover, the fact that Naimoli identified these errors while in pursuit of a loss mitigation option does not impair their connection to the servicing of her loan. All parties agree that a loan servicer's failure to properly evaluate a borrower for a loss mitigation option is not a covered error under </w:t>
      </w:r>
      <w:hyperlink r:id="rId11" w:history="1">
        <w:r>
          <w:rPr>
            <w:rFonts w:ascii="times" w:eastAsia="times" w:hAnsi="times" w:cs="times"/>
            <w:b w:val="0"/>
            <w:i w:val="0"/>
            <w:strike w:val="0"/>
            <w:noProof w:val="0"/>
            <w:color w:val="0077CC"/>
            <w:position w:val="0"/>
            <w:sz w:val="20"/>
            <w:u w:val="single"/>
            <w:shd w:val="clear" w:color="auto" w:fill="FFFFFF"/>
            <w:vertAlign w:val="baseline"/>
          </w:rPr>
          <w:t>§ 1024.35(b)</w:t>
        </w:r>
      </w:hyperlink>
      <w:r>
        <w:rPr>
          <w:rFonts w:ascii="times" w:eastAsia="times" w:hAnsi="times" w:cs="times"/>
          <w:b w:val="0"/>
          <w:i w:val="0"/>
          <w:strike w:val="0"/>
          <w:noProof w:val="0"/>
          <w:color w:val="000000"/>
          <w:position w:val="0"/>
          <w:sz w:val="20"/>
          <w:u w:val="none"/>
          <w:vertAlign w:val="baseline"/>
        </w:rPr>
        <w:t xml:space="preserve">. </w:t>
      </w:r>
      <w:bookmarkStart w:id="88" w:name="Bookmark_I64HXDBW2D6N6X0040000400"/>
      <w:bookmarkEnd w:id="88"/>
      <w:r>
        <w:rPr>
          <w:rFonts w:ascii="times" w:eastAsia="times" w:hAnsi="times" w:cs="times"/>
          <w:b w:val="0"/>
          <w:i w:val="0"/>
          <w:strike w:val="0"/>
          <w:noProof w:val="0"/>
          <w:color w:val="000000"/>
          <w:position w:val="0"/>
          <w:sz w:val="20"/>
          <w:u w:val="none"/>
          <w:vertAlign w:val="baseline"/>
        </w:rPr>
        <w:t xml:space="preserve">However, the fact that Naimoli was seeking loss mitigation does not mean that the errors she identified are unrelated to servicing. </w:t>
      </w:r>
      <w:bookmarkStart w:id="89" w:name="Bookmark_LNHNREFclscc7"/>
      <w:bookmarkEnd w:id="89"/>
      <w:r>
        <w:rPr>
          <w:rFonts w:ascii="times" w:eastAsia="times" w:hAnsi="times" w:cs="times"/>
          <w:b w:val="0"/>
          <w:i w:val="0"/>
          <w:strike w:val="0"/>
          <w:noProof w:val="0"/>
          <w:color w:val="000000"/>
          <w:position w:val="0"/>
          <w:sz w:val="20"/>
          <w:u w:val="none"/>
          <w:vertAlign w:val="baseline"/>
        </w:rPr>
        <w:t>In fact, erroneous loss</w:t>
      </w:r>
      <w:r>
        <w:rPr>
          <w:rFonts w:ascii="times" w:eastAsia="times" w:hAnsi="times" w:cs="times"/>
          <w:b/>
          <w:i w:val="0"/>
          <w:strike w:val="0"/>
          <w:noProof w:val="0"/>
          <w:color w:val="000000"/>
          <w:position w:val="0"/>
          <w:sz w:val="20"/>
          <w:u w:val="none"/>
          <w:vertAlign w:val="baseline"/>
        </w:rPr>
        <w:t> [*16] </w:t>
      </w:r>
      <w:r>
        <w:rPr>
          <w:rFonts w:ascii="times" w:eastAsia="times" w:hAnsi="times" w:cs="times"/>
          <w:b w:val="0"/>
          <w:i w:val="0"/>
          <w:strike w:val="0"/>
          <w:noProof w:val="0"/>
          <w:color w:val="000000"/>
          <w:position w:val="0"/>
          <w:sz w:val="20"/>
          <w:u w:val="none"/>
          <w:vertAlign w:val="baseline"/>
        </w:rPr>
        <w:t xml:space="preserve"> mitigation eligibility determinations are excluded under </w:t>
      </w:r>
      <w:hyperlink r:id="rId11" w:history="1">
        <w:r>
          <w:rPr>
            <w:rFonts w:ascii="times" w:eastAsia="times" w:hAnsi="times" w:cs="times"/>
            <w:b w:val="0"/>
            <w:i w:val="0"/>
            <w:strike w:val="0"/>
            <w:noProof w:val="0"/>
            <w:color w:val="0077CC"/>
            <w:position w:val="0"/>
            <w:sz w:val="20"/>
            <w:u w:val="single"/>
            <w:shd w:val="clear" w:color="auto" w:fill="FFFFFF"/>
            <w:vertAlign w:val="baseline"/>
          </w:rPr>
          <w:t>§ 1024.35(b)</w:t>
        </w:r>
      </w:hyperlink>
      <w:r>
        <w:rPr>
          <w:rFonts w:ascii="times" w:eastAsia="times" w:hAnsi="times" w:cs="times"/>
          <w:b w:val="0"/>
          <w:i w:val="0"/>
          <w:strike w:val="0"/>
          <w:noProof w:val="0"/>
          <w:color w:val="000000"/>
          <w:position w:val="0"/>
          <w:sz w:val="20"/>
          <w:u w:val="none"/>
          <w:vertAlign w:val="baseline"/>
        </w:rPr>
        <w:t xml:space="preserve"> not because loss mitigation is unrelated to servicing, but because when the CFPB issued its 2013 Final Rule, it determined that allowing consumers to enforce the loss mitigation standards set by the loan's owner against a servicer would perversely risk discouraging consumer-friendly loss mitigation standards. </w:t>
      </w:r>
      <w:r>
        <w:rPr>
          <w:rFonts w:ascii="times" w:eastAsia="times" w:hAnsi="times" w:cs="times"/>
          <w:b w:val="0"/>
          <w:i/>
          <w:strike w:val="0"/>
          <w:noProof w:val="0"/>
          <w:color w:val="000000"/>
          <w:position w:val="0"/>
          <w:sz w:val="20"/>
          <w:u w:val="none"/>
          <w:vertAlign w:val="baseline"/>
        </w:rPr>
        <w:t>See</w:t>
      </w:r>
      <w:r>
        <w:rPr>
          <w:rFonts w:ascii="times" w:eastAsia="times" w:hAnsi="times" w:cs="times"/>
          <w:b w:val="0"/>
          <w:i w:val="0"/>
          <w:strike w:val="0"/>
          <w:noProof w:val="0"/>
          <w:color w:val="000000"/>
          <w:position w:val="0"/>
          <w:sz w:val="20"/>
          <w:u w:val="none"/>
          <w:vertAlign w:val="baseline"/>
        </w:rPr>
        <w:t xml:space="preserve"> </w:t>
      </w:r>
      <w:bookmarkStart w:id="90" w:name="Bookmark_I64HXDBW2D6N6X0030000400"/>
      <w:bookmarkEnd w:id="90"/>
      <w:hyperlink r:id="rId17" w:history="1">
        <w:r>
          <w:rPr>
            <w:rFonts w:ascii="times" w:eastAsia="times" w:hAnsi="times" w:cs="times"/>
            <w:b w:val="0"/>
            <w:i w:val="0"/>
            <w:strike w:val="0"/>
            <w:noProof w:val="0"/>
            <w:color w:val="0077CC"/>
            <w:position w:val="0"/>
            <w:sz w:val="20"/>
            <w:u w:val="single"/>
            <w:shd w:val="clear" w:color="auto" w:fill="FFFFFF"/>
            <w:vertAlign w:val="baseline"/>
          </w:rPr>
          <w:t>78 Fed. Reg. at 10817-18</w:t>
        </w:r>
      </w:hyperlink>
      <w:r>
        <w:rPr>
          <w:rFonts w:ascii="times" w:eastAsia="times" w:hAnsi="times" w:cs="times"/>
          <w:b w:val="0"/>
          <w:i w:val="0"/>
          <w:strike w:val="0"/>
          <w:noProof w:val="0"/>
          <w:color w:val="000000"/>
          <w:position w:val="0"/>
          <w:sz w:val="20"/>
          <w:u w:val="none"/>
          <w:vertAlign w:val="baseline"/>
        </w:rPr>
        <w:t>. It is therefore of no import that Naimoli's asserted errors accompanied a complaint about Ocwen's determination of her loss mitigation application. Furthermore, the errors Naimoli identified were correctable without overturning Ocwen's determination regarding her loss mitigation application, because Ocwen could simply have located and recorded the documents without changing its decision regarding loss mitigation. Accordingly, the narrow exception to the catch-all provision, which excludes challenges to the merits of a servicer's loss mitigation determination, does not apply to the Naimoli's asserted errors.</w:t>
      </w:r>
    </w:p>
    <w:p>
      <w:pPr>
        <w:keepNext w:val="0"/>
        <w:widowControl w:val="0"/>
        <w:spacing w:before="200" w:after="0" w:line="260" w:lineRule="atLeast"/>
        <w:ind w:left="0" w:right="0" w:firstLine="0"/>
        <w:jc w:val="both"/>
      </w:pPr>
      <w:bookmarkStart w:id="91" w:name="Bookmark_para_31"/>
      <w:bookmarkEnd w:id="91"/>
      <w:r>
        <w:rPr>
          <w:rFonts w:ascii="times" w:eastAsia="times" w:hAnsi="times" w:cs="times"/>
          <w:b w:val="0"/>
          <w:i w:val="0"/>
          <w:strike w:val="0"/>
          <w:noProof w:val="0"/>
          <w:color w:val="000000"/>
          <w:position w:val="0"/>
          <w:sz w:val="20"/>
          <w:u w:val="none"/>
          <w:vertAlign w:val="baseline"/>
        </w:rPr>
        <w:t xml:space="preserve">Finally, we note that Ocwen argues in its letter brief that Naimoli failed to address the issue of damages and that she therefore abandoned it on appeal. </w:t>
      </w:r>
      <w:r>
        <w:rPr>
          <w:rFonts w:ascii="times" w:eastAsia="times" w:hAnsi="times" w:cs="times"/>
          <w:b w:val="0"/>
          <w:i/>
          <w:strike w:val="0"/>
          <w:noProof w:val="0"/>
          <w:color w:val="000000"/>
          <w:position w:val="0"/>
          <w:sz w:val="20"/>
          <w:u w:val="none"/>
          <w:vertAlign w:val="baseline"/>
        </w:rPr>
        <w:t>See</w:t>
      </w:r>
      <w:r>
        <w:rPr>
          <w:rFonts w:ascii="times" w:eastAsia="times" w:hAnsi="times" w:cs="times"/>
          <w:b w:val="0"/>
          <w:i w:val="0"/>
          <w:strike w:val="0"/>
          <w:noProof w:val="0"/>
          <w:color w:val="000000"/>
          <w:position w:val="0"/>
          <w:sz w:val="20"/>
          <w:u w:val="none"/>
          <w:vertAlign w:val="baseline"/>
        </w:rPr>
        <w:t xml:space="preserve"> Without a challenge to the district court's finding that</w:t>
      </w:r>
      <w:r>
        <w:rPr>
          <w:rFonts w:ascii="times" w:eastAsia="times" w:hAnsi="times" w:cs="times"/>
          <w:b/>
          <w:i w:val="0"/>
          <w:strike w:val="0"/>
          <w:noProof w:val="0"/>
          <w:color w:val="000000"/>
          <w:position w:val="0"/>
          <w:sz w:val="20"/>
          <w:u w:val="none"/>
          <w:vertAlign w:val="baseline"/>
        </w:rPr>
        <w:t> [*17] </w:t>
      </w:r>
      <w:r>
        <w:rPr>
          <w:rFonts w:ascii="times" w:eastAsia="times" w:hAnsi="times" w:cs="times"/>
          <w:b w:val="0"/>
          <w:i w:val="0"/>
          <w:strike w:val="0"/>
          <w:noProof w:val="0"/>
          <w:color w:val="000000"/>
          <w:position w:val="0"/>
          <w:sz w:val="20"/>
          <w:u w:val="none"/>
          <w:vertAlign w:val="baseline"/>
        </w:rPr>
        <w:t xml:space="preserve"> Naimoli lacked damages, Ocwen asserts, this Court would be issuing an advisory opinion. We disagree.</w:t>
      </w:r>
    </w:p>
    <w:p>
      <w:pPr>
        <w:keepNext w:val="0"/>
        <w:widowControl w:val="0"/>
        <w:spacing w:before="200" w:after="0" w:line="260" w:lineRule="atLeast"/>
        <w:ind w:left="0" w:right="0" w:firstLine="0"/>
        <w:jc w:val="both"/>
      </w:pPr>
      <w:bookmarkStart w:id="92" w:name="Bookmark_para_32"/>
      <w:bookmarkEnd w:id="92"/>
      <w:bookmarkStart w:id="93" w:name="Bookmark_I64HXDBW2HM5X30010000400"/>
      <w:bookmarkEnd w:id="93"/>
      <w:r>
        <w:rPr>
          <w:rFonts w:ascii="times" w:eastAsia="times" w:hAnsi="times" w:cs="times"/>
          <w:b w:val="0"/>
          <w:i w:val="0"/>
          <w:strike w:val="0"/>
          <w:noProof w:val="0"/>
          <w:color w:val="000000"/>
          <w:position w:val="0"/>
          <w:sz w:val="20"/>
          <w:u w:val="none"/>
          <w:vertAlign w:val="baseline"/>
        </w:rPr>
        <w:t xml:space="preserve">On appeal, Naimoli raises only her </w:t>
      </w:r>
      <w:hyperlink r:id="rId11" w:history="1">
        <w:r>
          <w:rPr>
            <w:rFonts w:ascii="times" w:eastAsia="times" w:hAnsi="times" w:cs="times"/>
            <w:b w:val="0"/>
            <w:i w:val="0"/>
            <w:strike w:val="0"/>
            <w:noProof w:val="0"/>
            <w:color w:val="0077CC"/>
            <w:position w:val="0"/>
            <w:sz w:val="20"/>
            <w:u w:val="single"/>
            <w:shd w:val="clear" w:color="auto" w:fill="FFFFFF"/>
            <w:vertAlign w:val="baseline"/>
          </w:rPr>
          <w:t>§ 1024.35</w:t>
        </w:r>
      </w:hyperlink>
      <w:r>
        <w:rPr>
          <w:rFonts w:ascii="times" w:eastAsia="times" w:hAnsi="times" w:cs="times"/>
          <w:b w:val="0"/>
          <w:i w:val="0"/>
          <w:strike w:val="0"/>
          <w:noProof w:val="0"/>
          <w:color w:val="000000"/>
          <w:position w:val="0"/>
          <w:sz w:val="20"/>
          <w:u w:val="none"/>
          <w:vertAlign w:val="baseline"/>
        </w:rPr>
        <w:t xml:space="preserve"> claim. As discussed at length above, Naimoli argues that Ocwen committed covered errors when it failed to record her mortgage documents, lost her documents, and rejected her February 21 payment pursuant to the trial plan. The district court held that those actions were not covered errors because the actions were "merely variations of Plaintiff's challenge to the denial of her loan modification." </w:t>
      </w:r>
      <w:bookmarkStart w:id="94" w:name="Bookmark_I64HXDBW2D6N6X0050000400"/>
      <w:bookmarkEnd w:id="94"/>
      <w:hyperlink r:id="rId12" w:history="1">
        <w:r>
          <w:rPr>
            <w:rFonts w:ascii="times" w:eastAsia="times" w:hAnsi="times" w:cs="times"/>
            <w:b w:val="0"/>
            <w:i/>
            <w:strike w:val="0"/>
            <w:noProof w:val="0"/>
            <w:color w:val="0077CC"/>
            <w:position w:val="0"/>
            <w:sz w:val="20"/>
            <w:u w:val="single"/>
            <w:shd w:val="clear" w:color="auto" w:fill="FFFFFF"/>
            <w:vertAlign w:val="baseline"/>
          </w:rPr>
          <w:t>Naimoli</w:t>
        </w:r>
      </w:hyperlink>
      <w:hyperlink r:id="rId12" w:history="1">
        <w:r>
          <w:rPr>
            <w:rFonts w:ascii="times" w:eastAsia="times" w:hAnsi="times" w:cs="times"/>
            <w:b w:val="0"/>
            <w:i w:val="0"/>
            <w:strike w:val="0"/>
            <w:noProof w:val="0"/>
            <w:color w:val="0077CC"/>
            <w:position w:val="0"/>
            <w:sz w:val="20"/>
            <w:u w:val="single"/>
            <w:shd w:val="clear" w:color="auto" w:fill="FFFFFF"/>
            <w:vertAlign w:val="baseline"/>
          </w:rPr>
          <w:t>, 2020 U.S. Dist. LEXIS 75076, 2020 WL 2059780, at *10</w:t>
        </w:r>
      </w:hyperlink>
      <w:r>
        <w:rPr>
          <w:rFonts w:ascii="times" w:eastAsia="times" w:hAnsi="times" w:cs="times"/>
          <w:b w:val="0"/>
          <w:i w:val="0"/>
          <w:strike w:val="0"/>
          <w:noProof w:val="0"/>
          <w:color w:val="000000"/>
          <w:position w:val="0"/>
          <w:sz w:val="20"/>
          <w:u w:val="none"/>
          <w:vertAlign w:val="baseline"/>
        </w:rPr>
        <w:t xml:space="preserve">. Because it held that those errors were not covered by </w:t>
      </w:r>
      <w:hyperlink r:id="rId11" w:history="1">
        <w:r>
          <w:rPr>
            <w:rFonts w:ascii="times" w:eastAsia="times" w:hAnsi="times" w:cs="times"/>
            <w:b w:val="0"/>
            <w:i w:val="0"/>
            <w:strike w:val="0"/>
            <w:noProof w:val="0"/>
            <w:color w:val="0077CC"/>
            <w:position w:val="0"/>
            <w:sz w:val="20"/>
            <w:u w:val="single"/>
            <w:shd w:val="clear" w:color="auto" w:fill="FFFFFF"/>
            <w:vertAlign w:val="baseline"/>
          </w:rPr>
          <w:t>§ 1024.35(b)(11)</w:t>
        </w:r>
      </w:hyperlink>
      <w:r>
        <w:rPr>
          <w:rFonts w:ascii="times" w:eastAsia="times" w:hAnsi="times" w:cs="times"/>
          <w:b w:val="0"/>
          <w:i w:val="0"/>
          <w:strike w:val="0"/>
          <w:noProof w:val="0"/>
          <w:color w:val="000000"/>
          <w:position w:val="0"/>
          <w:sz w:val="20"/>
          <w:u w:val="none"/>
          <w:vertAlign w:val="baseline"/>
        </w:rPr>
        <w:t xml:space="preserve">, the district court "grant[ed] summary judgment in favor of Defendant as to Plaintiff's </w:t>
      </w:r>
      <w:hyperlink r:id="rId11" w:history="1">
        <w:r>
          <w:rPr>
            <w:rFonts w:ascii="times" w:eastAsia="times" w:hAnsi="times" w:cs="times"/>
            <w:b w:val="0"/>
            <w:i w:val="0"/>
            <w:strike w:val="0"/>
            <w:noProof w:val="0"/>
            <w:color w:val="0077CC"/>
            <w:position w:val="0"/>
            <w:sz w:val="20"/>
            <w:u w:val="single"/>
            <w:shd w:val="clear" w:color="auto" w:fill="FFFFFF"/>
            <w:vertAlign w:val="baseline"/>
          </w:rPr>
          <w:t>§ 1024.35(e)(1)</w:t>
        </w:r>
      </w:hyperlink>
      <w:r>
        <w:rPr>
          <w:rFonts w:ascii="times" w:eastAsia="times" w:hAnsi="times" w:cs="times"/>
          <w:b w:val="0"/>
          <w:i w:val="0"/>
          <w:strike w:val="0"/>
          <w:noProof w:val="0"/>
          <w:color w:val="000000"/>
          <w:position w:val="0"/>
          <w:sz w:val="20"/>
          <w:u w:val="none"/>
          <w:vertAlign w:val="baseline"/>
        </w:rPr>
        <w:t xml:space="preserve"> claim." </w:t>
      </w:r>
      <w:r>
        <w:rPr>
          <w:rFonts w:ascii="times" w:eastAsia="times" w:hAnsi="times" w:cs="times"/>
          <w:b w:val="0"/>
          <w:i/>
          <w:strike w:val="0"/>
          <w:noProof w:val="0"/>
          <w:color w:val="000000"/>
          <w:position w:val="0"/>
          <w:sz w:val="20"/>
          <w:u w:val="none"/>
          <w:vertAlign w:val="baseline"/>
        </w:rPr>
        <w:t>Id.</w:t>
      </w:r>
      <w:r>
        <w:rPr>
          <w:rFonts w:ascii="times" w:eastAsia="times" w:hAnsi="times" w:cs="times"/>
          <w:b w:val="0"/>
          <w:i w:val="0"/>
          <w:strike w:val="0"/>
          <w:noProof w:val="0"/>
          <w:color w:val="000000"/>
          <w:position w:val="0"/>
          <w:sz w:val="20"/>
          <w:u w:val="none"/>
          <w:vertAlign w:val="baseline"/>
        </w:rPr>
        <w:t xml:space="preserve"> That was the sole reason that the district court gave for granting summary judgment as to those errors. The district court later granted summary judgment on Naimoli's other claims (her </w:t>
      </w:r>
      <w:hyperlink r:id="rId27" w:history="1">
        <w:r>
          <w:rPr>
            <w:rFonts w:ascii="times" w:eastAsia="times" w:hAnsi="times" w:cs="times"/>
            <w:b w:val="0"/>
            <w:i w:val="0"/>
            <w:strike w:val="0"/>
            <w:noProof w:val="0"/>
            <w:color w:val="0077CC"/>
            <w:position w:val="0"/>
            <w:sz w:val="20"/>
            <w:u w:val="single"/>
            <w:shd w:val="clear" w:color="auto" w:fill="FFFFFF"/>
            <w:vertAlign w:val="baseline"/>
          </w:rPr>
          <w:t>§ 1024.36(c)</w:t>
        </w:r>
      </w:hyperlink>
      <w:r>
        <w:rPr>
          <w:rFonts w:ascii="times" w:eastAsia="times" w:hAnsi="times" w:cs="times"/>
          <w:b w:val="0"/>
          <w:i w:val="0"/>
          <w:strike w:val="0"/>
          <w:noProof w:val="0"/>
          <w:color w:val="000000"/>
          <w:position w:val="0"/>
          <w:sz w:val="20"/>
          <w:u w:val="none"/>
          <w:vertAlign w:val="baseline"/>
        </w:rPr>
        <w:t xml:space="preserve"> and </w:t>
      </w:r>
      <w:hyperlink r:id="rId27" w:history="1">
        <w:r>
          <w:rPr>
            <w:rFonts w:ascii="times" w:eastAsia="times" w:hAnsi="times" w:cs="times"/>
            <w:b w:val="0"/>
            <w:i w:val="0"/>
            <w:strike w:val="0"/>
            <w:noProof w:val="0"/>
            <w:color w:val="0077CC"/>
            <w:position w:val="0"/>
            <w:sz w:val="20"/>
            <w:u w:val="single"/>
            <w:shd w:val="clear" w:color="auto" w:fill="FFFFFF"/>
            <w:vertAlign w:val="baseline"/>
          </w:rPr>
          <w:t>(d)</w:t>
        </w:r>
      </w:hyperlink>
      <w:r>
        <w:rPr>
          <w:rFonts w:ascii="times" w:eastAsia="times" w:hAnsi="times" w:cs="times"/>
          <w:b w:val="0"/>
          <w:i w:val="0"/>
          <w:strike w:val="0"/>
          <w:noProof w:val="0"/>
          <w:color w:val="000000"/>
          <w:position w:val="0"/>
          <w:sz w:val="20"/>
          <w:u w:val="none"/>
          <w:vertAlign w:val="baseline"/>
        </w:rPr>
        <w:t xml:space="preserve"> claims) for failure to present evidence of damages, but the district court's conclusions on damages were limited to these other claims concerning whether Ocwen failed to timely acknowledge or respond to her requests for information. Those conclusions did not apply to her claim that Ocwen failed to properly respond</w:t>
      </w:r>
      <w:r>
        <w:rPr>
          <w:rFonts w:ascii="times" w:eastAsia="times" w:hAnsi="times" w:cs="times"/>
          <w:b/>
          <w:i w:val="0"/>
          <w:strike w:val="0"/>
          <w:noProof w:val="0"/>
          <w:color w:val="000000"/>
          <w:position w:val="0"/>
          <w:sz w:val="20"/>
          <w:u w:val="none"/>
          <w:vertAlign w:val="baseline"/>
        </w:rPr>
        <w:t> [*18] </w:t>
      </w:r>
      <w:r>
        <w:rPr>
          <w:rFonts w:ascii="times" w:eastAsia="times" w:hAnsi="times" w:cs="times"/>
          <w:b w:val="0"/>
          <w:i w:val="0"/>
          <w:strike w:val="0"/>
          <w:noProof w:val="0"/>
          <w:color w:val="000000"/>
          <w:position w:val="0"/>
          <w:sz w:val="20"/>
          <w:u w:val="none"/>
          <w:vertAlign w:val="baseline"/>
        </w:rPr>
        <w:t xml:space="preserve"> to her notice of error. The district court expressly drew this distinction:</w:t>
      </w:r>
    </w:p>
    <w:p>
      <w:pPr>
        <w:keepNext w:val="0"/>
        <w:widowControl w:val="0"/>
        <w:spacing w:after="0" w:line="260" w:lineRule="atLeast"/>
        <w:ind w:left="400" w:right="0" w:firstLine="0"/>
        <w:jc w:val="both"/>
      </w:pPr>
      <w:bookmarkStart w:id="95" w:name="Bookmark_para_33"/>
      <w:bookmarkEnd w:id="95"/>
      <w:r>
        <w:rPr>
          <w:rFonts w:ascii="times" w:eastAsia="times" w:hAnsi="times" w:cs="times"/>
          <w:b w:val="0"/>
          <w:i w:val="0"/>
          <w:strike w:val="0"/>
          <w:noProof w:val="0"/>
          <w:color w:val="000000"/>
          <w:position w:val="0"/>
          <w:sz w:val="20"/>
          <w:u w:val="none"/>
          <w:vertAlign w:val="baseline"/>
        </w:rPr>
        <w:t xml:space="preserve">In her opposition to Defendant's motion for summary judgment, Plaintiff argues that her actual damages were incurred as a result of Defendant's denial of her loan modification, not Defendant's failure to acknowledge or timely respond to the RFIs. . . . </w:t>
      </w:r>
      <w:bookmarkStart w:id="96" w:name="Bookmark_I64HXDBW2HM5X30030000400"/>
      <w:bookmarkEnd w:id="96"/>
      <w:r>
        <w:rPr>
          <w:rFonts w:ascii="times" w:eastAsia="times" w:hAnsi="times" w:cs="times"/>
          <w:b w:val="0"/>
          <w:i w:val="0"/>
          <w:strike w:val="0"/>
          <w:noProof w:val="0"/>
          <w:color w:val="000000"/>
          <w:position w:val="0"/>
          <w:sz w:val="20"/>
          <w:u w:val="none"/>
          <w:vertAlign w:val="baseline"/>
        </w:rPr>
        <w:t>However, the Court has already concluded that Plaintiff cannot sustain her RESPA claim based on Defendant's denial of her request for a loan modification. As such, because Plaintiff does not argue, nor does the record indicate, that there is a genuine issue of material fact as to whether Defendant's failure to timely acknowledge or respond to the RFIs proximately caused actual damages to Plaintiff, Plaintiff's remaining RESPA claims must fail.</w:t>
      </w:r>
    </w:p>
    <w:p>
      <w:pPr>
        <w:keepNext w:val="0"/>
        <w:widowControl w:val="0"/>
        <w:spacing w:before="240" w:after="0" w:line="260" w:lineRule="atLeast"/>
        <w:ind w:left="0" w:right="0" w:firstLine="0"/>
        <w:jc w:val="both"/>
      </w:pPr>
      <w:bookmarkStart w:id="97" w:name="Bookmark_I64HXDBW2HM5X30030000400_2"/>
      <w:bookmarkEnd w:id="97"/>
      <w:bookmarkStart w:id="98" w:name="Bookmark_I64HXDBW2HM5X30050000400"/>
      <w:bookmarkEnd w:id="98"/>
      <w:bookmarkStart w:id="99" w:name="Bookmark_I64HXDBW2HM5X30020000400"/>
      <w:bookmarkEnd w:id="99"/>
      <w:hyperlink r:id="rId12" w:history="1">
        <w:r>
          <w:rPr>
            <w:rFonts w:ascii="times" w:eastAsia="times" w:hAnsi="times" w:cs="times"/>
            <w:b w:val="0"/>
            <w:i w:val="0"/>
            <w:strike w:val="0"/>
            <w:color w:val="0077CC"/>
            <w:sz w:val="20"/>
            <w:u w:val="single"/>
            <w:shd w:val="clear" w:color="auto" w:fill="FFFFFF"/>
            <w:vertAlign w:val="baseline"/>
          </w:rPr>
          <w:t>2020 U.S. Dist. LEXIS 75076, [WL] at *12</w:t>
        </w:r>
      </w:hyperlink>
      <w:r>
        <w:rPr>
          <w:rFonts w:ascii="times" w:eastAsia="times" w:hAnsi="times" w:cs="times"/>
          <w:b w:val="0"/>
          <w:i w:val="0"/>
          <w:strike w:val="0"/>
          <w:noProof w:val="0"/>
          <w:color w:val="000000"/>
          <w:position w:val="0"/>
          <w:sz w:val="20"/>
          <w:u w:val="none"/>
          <w:vertAlign w:val="baseline"/>
        </w:rPr>
        <w:t xml:space="preserve">. </w:t>
      </w:r>
      <w:bookmarkStart w:id="100" w:name="Bookmark_I64HXDBW2HM5X30050000400_2"/>
      <w:bookmarkEnd w:id="100"/>
      <w:r>
        <w:rPr>
          <w:rFonts w:ascii="times" w:eastAsia="times" w:hAnsi="times" w:cs="times"/>
          <w:b w:val="0"/>
          <w:i w:val="0"/>
          <w:strike w:val="0"/>
          <w:noProof w:val="0"/>
          <w:color w:val="000000"/>
          <w:position w:val="0"/>
          <w:sz w:val="20"/>
          <w:u w:val="none"/>
          <w:vertAlign w:val="baseline"/>
        </w:rPr>
        <w:t>The district court's inquiry into damages is limited to whether the damages were caused by the RFI-related conduct. The district court held that Naimoli "has not submitted evidence raising a triable issue of fact as to whether the damages were a result of Defendant's failure to timely acknowledge the RFIs or Defendant's 15-day delay in responding to RFI #1, as opposed to the denial of her loan modification or the general</w:t>
      </w:r>
      <w:r>
        <w:rPr>
          <w:rFonts w:ascii="times" w:eastAsia="times" w:hAnsi="times" w:cs="times"/>
          <w:b/>
          <w:i w:val="0"/>
          <w:strike w:val="0"/>
          <w:noProof w:val="0"/>
          <w:color w:val="000000"/>
          <w:position w:val="0"/>
          <w:sz w:val="20"/>
          <w:u w:val="none"/>
          <w:vertAlign w:val="baseline"/>
        </w:rPr>
        <w:t> [*19] </w:t>
      </w:r>
      <w:r>
        <w:rPr>
          <w:rFonts w:ascii="times" w:eastAsia="times" w:hAnsi="times" w:cs="times"/>
          <w:b w:val="0"/>
          <w:i w:val="0"/>
          <w:strike w:val="0"/>
          <w:noProof w:val="0"/>
          <w:color w:val="000000"/>
          <w:position w:val="0"/>
          <w:sz w:val="20"/>
          <w:u w:val="none"/>
          <w:vertAlign w:val="baseline"/>
        </w:rPr>
        <w:t xml:space="preserve"> possibility of foreclosure." </w:t>
      </w:r>
      <w:bookmarkStart w:id="101" w:name="Bookmark_I64HXDBW2HM5X30040000400"/>
      <w:bookmarkEnd w:id="101"/>
      <w:hyperlink r:id="rId12" w:history="1">
        <w:r>
          <w:rPr>
            <w:rFonts w:ascii="times" w:eastAsia="times" w:hAnsi="times" w:cs="times"/>
            <w:b w:val="0"/>
            <w:i w:val="0"/>
            <w:strike w:val="0"/>
            <w:noProof w:val="0"/>
            <w:color w:val="0077CC"/>
            <w:position w:val="0"/>
            <w:sz w:val="20"/>
            <w:u w:val="single"/>
            <w:shd w:val="clear" w:color="auto" w:fill="FFFFFF"/>
            <w:vertAlign w:val="baseline"/>
          </w:rPr>
          <w:t>2020 U.S. Dist. LEXIS 75076, [WL] at *14</w:t>
        </w:r>
      </w:hyperlink>
      <w:r>
        <w:rPr>
          <w:rFonts w:ascii="times" w:eastAsia="times" w:hAnsi="times" w:cs="times"/>
          <w:b w:val="0"/>
          <w:i w:val="0"/>
          <w:strike w:val="0"/>
          <w:noProof w:val="0"/>
          <w:color w:val="000000"/>
          <w:position w:val="0"/>
          <w:sz w:val="20"/>
          <w:u w:val="none"/>
          <w:vertAlign w:val="baseline"/>
        </w:rPr>
        <w:t>.</w:t>
      </w:r>
    </w:p>
    <w:p>
      <w:pPr>
        <w:keepNext w:val="0"/>
        <w:widowControl w:val="0"/>
        <w:spacing w:before="240" w:after="0" w:line="260" w:lineRule="atLeast"/>
        <w:ind w:left="0" w:right="0" w:firstLine="0"/>
        <w:jc w:val="both"/>
      </w:pPr>
      <w:bookmarkStart w:id="102" w:name="Bookmark_para_34"/>
      <w:bookmarkEnd w:id="102"/>
      <w:r>
        <w:rPr>
          <w:rFonts w:ascii="times" w:eastAsia="times" w:hAnsi="times" w:cs="times"/>
          <w:b w:val="0"/>
          <w:i w:val="0"/>
          <w:strike w:val="0"/>
          <w:noProof w:val="0"/>
          <w:color w:val="000000"/>
          <w:position w:val="0"/>
          <w:sz w:val="20"/>
          <w:u w:val="none"/>
          <w:vertAlign w:val="baseline"/>
        </w:rPr>
        <w:t xml:space="preserve">By contrast, when considering the claim Naimoli raises under </w:t>
      </w:r>
      <w:hyperlink r:id="rId11" w:history="1">
        <w:r>
          <w:rPr>
            <w:rFonts w:ascii="times" w:eastAsia="times" w:hAnsi="times" w:cs="times"/>
            <w:b w:val="0"/>
            <w:i w:val="0"/>
            <w:strike w:val="0"/>
            <w:noProof w:val="0"/>
            <w:color w:val="0077CC"/>
            <w:position w:val="0"/>
            <w:sz w:val="20"/>
            <w:u w:val="single"/>
            <w:shd w:val="clear" w:color="auto" w:fill="FFFFFF"/>
            <w:vertAlign w:val="baseline"/>
          </w:rPr>
          <w:t>§ 1024.35</w:t>
        </w:r>
      </w:hyperlink>
      <w:r>
        <w:rPr>
          <w:rFonts w:ascii="times" w:eastAsia="times" w:hAnsi="times" w:cs="times"/>
          <w:b w:val="0"/>
          <w:i w:val="0"/>
          <w:strike w:val="0"/>
          <w:noProof w:val="0"/>
          <w:color w:val="000000"/>
          <w:position w:val="0"/>
          <w:sz w:val="20"/>
          <w:u w:val="none"/>
          <w:vertAlign w:val="baseline"/>
        </w:rPr>
        <w:t xml:space="preserve">, the record does include evidence of actual damages. Naimoli alleges that Ocwen has not provided any "substantive response" to the notice of error, and that such a response would include either "[c]orrecting the error" or "[c]onducting a reasonable investigation." The asserted errors prevent Naimoli from obtaining the loan modification to which she argues she is entitled, and which would have had an interest rate of 3.5 percent as opposed to the 6.25 percent rate that she must pay absent the modification. Naimoli further alleges in the complaint that Ocwen "continues to send reinstatement demands for the Loan," meaning that she will be required to repay the loan without modification. </w:t>
      </w:r>
      <w:bookmarkStart w:id="103" w:name="Bookmark_I64HP9672N1PMK0010000400"/>
      <w:bookmarkEnd w:id="103"/>
      <w:r>
        <w:rPr>
          <w:rFonts w:ascii="times" w:eastAsia="times" w:hAnsi="times" w:cs="times"/>
          <w:b w:val="0"/>
          <w:i w:val="0"/>
          <w:strike w:val="0"/>
          <w:noProof w:val="0"/>
          <w:color w:val="000000"/>
          <w:position w:val="0"/>
          <w:sz w:val="20"/>
          <w:u w:val="none"/>
          <w:vertAlign w:val="baseline"/>
        </w:rPr>
        <w:t xml:space="preserve">We do not believe that Naimoli needs to make an additional showing of damages to survive summary judgment on her </w:t>
      </w:r>
      <w:hyperlink r:id="rId11" w:history="1">
        <w:r>
          <w:rPr>
            <w:rFonts w:ascii="times" w:eastAsia="times" w:hAnsi="times" w:cs="times"/>
            <w:b w:val="0"/>
            <w:i w:val="0"/>
            <w:strike w:val="0"/>
            <w:noProof w:val="0"/>
            <w:color w:val="0077CC"/>
            <w:position w:val="0"/>
            <w:sz w:val="20"/>
            <w:u w:val="single"/>
            <w:shd w:val="clear" w:color="auto" w:fill="FFFFFF"/>
            <w:vertAlign w:val="baseline"/>
          </w:rPr>
          <w:t>§ 1024.35</w:t>
        </w:r>
      </w:hyperlink>
      <w:r>
        <w:rPr>
          <w:rFonts w:ascii="times" w:eastAsia="times" w:hAnsi="times" w:cs="times"/>
          <w:b w:val="0"/>
          <w:i w:val="0"/>
          <w:strike w:val="0"/>
          <w:noProof w:val="0"/>
          <w:color w:val="000000"/>
          <w:position w:val="0"/>
          <w:sz w:val="20"/>
          <w:u w:val="none"/>
          <w:vertAlign w:val="baseline"/>
        </w:rPr>
        <w:t xml:space="preserve"> claim.</w:t>
      </w:r>
    </w:p>
    <w:p>
      <w:pPr>
        <w:keepNext w:val="0"/>
        <w:widowControl w:val="0"/>
        <w:spacing w:before="240" w:after="0" w:line="260" w:lineRule="atLeast"/>
        <w:ind w:left="0" w:right="0" w:firstLine="0"/>
        <w:jc w:val="left"/>
      </w:pPr>
      <w:r>
        <w:br/>
      </w:r>
      <w:r>
        <w:rPr>
          <w:rFonts w:ascii="times" w:eastAsia="times" w:hAnsi="times" w:cs="times"/>
          <w:b/>
          <w:i w:val="0"/>
          <w:strike w:val="0"/>
          <w:noProof w:val="0"/>
          <w:color w:val="000000"/>
          <w:position w:val="0"/>
          <w:sz w:val="20"/>
          <w:u w:val="none"/>
          <w:vertAlign w:val="baseline"/>
        </w:rPr>
        <w:t>CONCLUSION</w:t>
      </w:r>
    </w:p>
    <w:p>
      <w:pPr>
        <w:keepNext w:val="0"/>
        <w:widowControl w:val="0"/>
        <w:spacing w:before="200" w:after="0" w:line="260" w:lineRule="atLeast"/>
        <w:ind w:left="0" w:right="0" w:firstLine="0"/>
        <w:jc w:val="both"/>
      </w:pPr>
      <w:bookmarkStart w:id="104" w:name="Bookmark_para_35"/>
      <w:bookmarkEnd w:id="104"/>
      <w:r>
        <w:rPr>
          <w:rFonts w:ascii="times" w:eastAsia="times" w:hAnsi="times" w:cs="times"/>
          <w:b w:val="0"/>
          <w:i w:val="0"/>
          <w:strike w:val="0"/>
          <w:noProof w:val="0"/>
          <w:color w:val="000000"/>
          <w:position w:val="0"/>
          <w:sz w:val="20"/>
          <w:u w:val="none"/>
          <w:vertAlign w:val="baseline"/>
        </w:rPr>
        <w:t xml:space="preserve">For the foregoing reasons, we </w:t>
      </w:r>
      <w:r>
        <w:rPr>
          <w:rFonts w:ascii="times" w:eastAsia="times" w:hAnsi="times" w:cs="times"/>
          <w:b/>
          <w:i w:val="0"/>
          <w:strike w:val="0"/>
          <w:noProof w:val="0"/>
          <w:color w:val="000000"/>
          <w:position w:val="0"/>
          <w:sz w:val="20"/>
          <w:u w:val="none"/>
          <w:vertAlign w:val="baseline"/>
        </w:rPr>
        <w:t>REVERSE</w:t>
      </w:r>
      <w:r>
        <w:rPr>
          <w:rFonts w:ascii="times" w:eastAsia="times" w:hAnsi="times" w:cs="times"/>
          <w:b w:val="0"/>
          <w:i w:val="0"/>
          <w:strike w:val="0"/>
          <w:noProof w:val="0"/>
          <w:color w:val="000000"/>
          <w:position w:val="0"/>
          <w:sz w:val="20"/>
          <w:u w:val="none"/>
          <w:vertAlign w:val="baseline"/>
        </w:rPr>
        <w:t xml:space="preserve"> and </w:t>
      </w:r>
      <w:r>
        <w:rPr>
          <w:rFonts w:ascii="times" w:eastAsia="times" w:hAnsi="times" w:cs="times"/>
          <w:b/>
          <w:i w:val="0"/>
          <w:strike w:val="0"/>
          <w:noProof w:val="0"/>
          <w:color w:val="000000"/>
          <w:position w:val="0"/>
          <w:sz w:val="20"/>
          <w:u w:val="none"/>
          <w:vertAlign w:val="baseline"/>
        </w:rPr>
        <w:t>REMAND</w:t>
      </w:r>
      <w:r>
        <w:rPr>
          <w:rFonts w:ascii="times" w:eastAsia="times" w:hAnsi="times" w:cs="times"/>
          <w:b w:val="0"/>
          <w:i w:val="0"/>
          <w:strike w:val="0"/>
          <w:noProof w:val="0"/>
          <w:color w:val="000000"/>
          <w:position w:val="0"/>
          <w:sz w:val="20"/>
          <w:u w:val="none"/>
          <w:vertAlign w:val="baseline"/>
        </w:rPr>
        <w:t xml:space="preserve"> for further proceedings consistent with this opinion.</w:t>
      </w:r>
    </w:p>
    <w:p/>
    <w:p>
      <w:pPr>
        <w:ind w:left="200"/>
      </w:pPr>
      <w:r>
        <w:br/>
      </w:r>
      <w:r>
        <w:pict>
          <v:line id="_x0000_s1027" style="position:absolute;z-index:251659264" from="0,10pt" to="512pt,10pt" strokecolor="black" strokeweight="1pt">
            <v:stroke linestyle="single"/>
          </v:line>
        </w:pict>
      </w:r>
      <w:r>
        <w:rPr>
          <w:rFonts w:ascii="times" w:eastAsia="times" w:hAnsi="times" w:cs="times"/>
          <w:b/>
          <w:color w:val="767676"/>
          <w:sz w:val="16"/>
        </w:rPr>
        <w:t>End of Document</w:t>
      </w:r>
    </w:p>
    <w:sectPr>
      <w:type w:val="continuous"/>
      <w:pgMar w:top="840" w:right="1000" w:bottom="840" w:left="1000" w:header="400" w:footer="400"/>
      <w:pgNumType w:fmt="decimal"/>
      <w:cols w:num="2" w:space="240" w:equalWidth="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jc w:val="center"/>
      <w:tblBorders>
        <w:top w:val="nil"/>
        <w:left w:val="nil"/>
        <w:bottom w:val="nil"/>
        <w:right w:val="nil"/>
        <w:insideH w:val="nil"/>
        <w:insideV w:val="nil"/>
      </w:tblBorders>
      <w:tblLayout w:type="fixed"/>
      <w:tblCellMar>
        <w:left w:w="108" w:type="dxa"/>
        <w:right w:w="108" w:type="dxa"/>
      </w:tblCellMar>
    </w:tblPr>
    <w:tblGrid>
      <w:gridCol w:w="2600"/>
      <w:gridCol w:w="4880"/>
      <w:gridCol w:w="2600"/>
    </w:tblGrid>
    <w:tr>
      <w:tblPrEx>
        <w:tblW w:w="10080" w:type="dxa"/>
        <w:jc w:val="center"/>
        <w:tblBorders>
          <w:top w:val="nil"/>
          <w:left w:val="nil"/>
          <w:bottom w:val="nil"/>
          <w:right w:val="nil"/>
          <w:insideH w:val="nil"/>
          <w:insideV w:val="nil"/>
        </w:tblBorders>
        <w:tblLayout w:type="fixed"/>
        <w:tblCellMar>
          <w:left w:w="108" w:type="dxa"/>
          <w:right w:w="108" w:type="dxa"/>
        </w:tblCellMar>
      </w:tblPrEx>
      <w:trPr>
        <w:jc w:val="center"/>
      </w:trPr>
      <w:tc>
        <w:tcPr>
          <w:tcW w:w="2600" w:type="dxa"/>
          <w:tcMar>
            <w:top w:w="200" w:type="dxa"/>
          </w:tcMar>
          <w:vAlign w:val="center"/>
        </w:tcPr>
        <w:p/>
      </w:tc>
      <w:tc>
        <w:tcPr>
          <w:tcW w:w="4880" w:type="dxa"/>
          <w:tcMar>
            <w:top w:w="200" w:type="dxa"/>
          </w:tcMar>
          <w:vAlign w:val="center"/>
        </w:tcPr>
        <w:p>
          <w:pPr>
            <w:jc w:val="center"/>
          </w:pPr>
        </w:p>
        <w:p>
          <w:pPr>
            <w:jc w:val="center"/>
          </w:pPr>
          <w:r>
            <w:rPr>
              <w:rFonts w:ascii="arial" w:eastAsia="arial" w:hAnsi="arial" w:cs="arial"/>
              <w:sz w:val="20"/>
            </w:rPr>
            <w:t xml:space="preserve">Page </w:t>
          </w:r>
          <w:r>
            <w:rPr>
              <w:rFonts w:ascii="arial" w:eastAsia="arial" w:hAnsi="arial" w:cs="arial"/>
              <w:sz w:val="20"/>
            </w:rPr>
            <w:fldChar w:fldCharType="begin"/>
          </w:r>
          <w:r>
            <w:rPr>
              <w:rFonts w:ascii="arial" w:eastAsia="arial" w:hAnsi="arial" w:cs="arial"/>
              <w:sz w:val="20"/>
            </w:rPr>
            <w:instrText xml:space="preserve"> PAGE </w:instrText>
          </w:r>
          <w:r>
            <w:rPr>
              <w:rFonts w:ascii="arial" w:eastAsia="arial" w:hAnsi="arial" w:cs="arial"/>
              <w:sz w:val="20"/>
            </w:rPr>
            <w:fldChar w:fldCharType="separate"/>
          </w:r>
          <w:r>
            <w:rPr>
              <w:rFonts w:ascii="arial" w:eastAsia="arial" w:hAnsi="arial" w:cs="arial"/>
              <w:sz w:val="20"/>
            </w:rPr>
            <w:fldChar w:fldCharType="end"/>
          </w:r>
          <w:r>
            <w:rPr>
              <w:rFonts w:ascii="arial" w:eastAsia="arial" w:hAnsi="arial" w:cs="arial"/>
              <w:sz w:val="20"/>
            </w:rPr>
            <w:t xml:space="preserve"> of </w:t>
          </w:r>
          <w:r>
            <w:rPr>
              <w:rFonts w:ascii="arial" w:eastAsia="arial" w:hAnsi="arial" w:cs="arial"/>
              <w:sz w:val="20"/>
            </w:rPr>
            <w:fldChar w:fldCharType="begin"/>
          </w:r>
          <w:r>
            <w:rPr>
              <w:rFonts w:ascii="arial" w:eastAsia="arial" w:hAnsi="arial" w:cs="arial"/>
              <w:sz w:val="20"/>
            </w:rPr>
            <w:instrText xml:space="preserve"> NUMPAGES </w:instrText>
          </w:r>
          <w:r>
            <w:rPr>
              <w:rFonts w:ascii="arial" w:eastAsia="arial" w:hAnsi="arial" w:cs="arial"/>
              <w:sz w:val="20"/>
            </w:rPr>
            <w:fldChar w:fldCharType="separate"/>
          </w:r>
          <w:r>
            <w:rPr>
              <w:rFonts w:ascii="arial" w:eastAsia="arial" w:hAnsi="arial" w:cs="arial"/>
              <w:sz w:val="20"/>
            </w:rPr>
            <w:fldChar w:fldCharType="end"/>
          </w:r>
        </w:p>
      </w:tc>
      <w:tc>
        <w:tcPr>
          <w:tcW w:w="2600" w:type="dxa"/>
          <w:tcMar>
            <w:top w:w="200" w:type="dxa"/>
          </w:tcMar>
          <w:vAlign w:val="center"/>
        </w:tc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20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 w:id="2">
    <w:p>
      <w:pPr>
        <w:keepNext w:val="0"/>
        <w:widowControl w:val="0"/>
        <w:spacing w:before="240" w:after="0" w:line="240" w:lineRule="atLeast"/>
        <w:ind w:left="0" w:right="0" w:firstLine="0"/>
        <w:jc w:val="both"/>
      </w:pPr>
      <w:r>
        <w:rPr>
          <w:rFonts w:ascii="times" w:eastAsia="times" w:hAnsi="times" w:cs="times"/>
          <w:b w:val="0"/>
          <w:i w:val="0"/>
          <w:strike w:val="0"/>
          <w:noProof w:val="0"/>
          <w:color w:val="000000"/>
          <w:position w:val="0"/>
          <w:sz w:val="18"/>
          <w:u w:val="none"/>
          <w:vertAlign w:val="superscript"/>
        </w:rPr>
        <w:t>* </w:t>
      </w:r>
      <w:bookmarkStart w:id="7" w:name="Bookmark_fnpara_1"/>
      <w:bookmarkEnd w:id="7"/>
      <w:r>
        <w:rPr>
          <w:rFonts w:ascii="times" w:eastAsia="times" w:hAnsi="times" w:cs="times"/>
          <w:b w:val="0"/>
          <w:i w:val="0"/>
          <w:strike w:val="0"/>
          <w:noProof w:val="0"/>
          <w:color w:val="000000"/>
          <w:position w:val="0"/>
          <w:sz w:val="18"/>
          <w:u w:val="none"/>
          <w:vertAlign w:val="baseline"/>
        </w:rPr>
        <w:t xml:space="preserve">Judge Robert A. Katzmann, originally a member of the panel, died on June 9, 2021. The two remaining members of the panel, who are in agreement, have determined the matter. See </w:t>
      </w:r>
      <w:hyperlink r:id="rId1" w:history="1">
        <w:r>
          <w:rPr>
            <w:rFonts w:ascii="times" w:eastAsia="times" w:hAnsi="times" w:cs="times"/>
            <w:b w:val="0"/>
            <w:i w:val="0"/>
            <w:strike w:val="0"/>
            <w:noProof w:val="0"/>
            <w:color w:val="0077CC"/>
            <w:position w:val="0"/>
            <w:sz w:val="18"/>
            <w:u w:val="single"/>
            <w:shd w:val="clear" w:color="auto" w:fill="FFFFFF"/>
            <w:vertAlign w:val="baseline"/>
          </w:rPr>
          <w:t>28 U.S.C. § 46(d)</w:t>
        </w:r>
      </w:hyperlink>
      <w:r>
        <w:rPr>
          <w:rFonts w:ascii="times" w:eastAsia="times" w:hAnsi="times" w:cs="times"/>
          <w:b w:val="0"/>
          <w:i w:val="0"/>
          <w:strike w:val="0"/>
          <w:noProof w:val="0"/>
          <w:color w:val="000000"/>
          <w:position w:val="0"/>
          <w:sz w:val="18"/>
          <w:u w:val="none"/>
          <w:vertAlign w:val="baseline"/>
        </w:rPr>
        <w:t xml:space="preserve">; 2d Cir. IOP E(b); </w:t>
      </w:r>
      <w:hyperlink r:id="rId2" w:history="1">
        <w:r>
          <w:rPr>
            <w:rFonts w:ascii="times" w:eastAsia="times" w:hAnsi="times" w:cs="times"/>
            <w:b w:val="0"/>
            <w:i w:val="0"/>
            <w:strike w:val="0"/>
            <w:noProof w:val="0"/>
            <w:color w:val="0077CC"/>
            <w:position w:val="0"/>
            <w:sz w:val="18"/>
            <w:u w:val="single"/>
            <w:shd w:val="clear" w:color="auto" w:fill="FFFFFF"/>
            <w:vertAlign w:val="baseline"/>
          </w:rPr>
          <w:t>United States v. Desimone, 140 F.3d 457, 458-59 (2d Cir. 1998)</w:t>
        </w:r>
      </w:hyperlink>
      <w:r>
        <w:rPr>
          <w:rFonts w:ascii="times" w:eastAsia="times" w:hAnsi="times" w:cs="times"/>
          <w:b w:val="0"/>
          <w:i w:val="0"/>
          <w:strike w:val="0"/>
          <w:noProof w:val="0"/>
          <w:color w:val="000000"/>
          <w:position w:val="0"/>
          <w:sz w:val="18"/>
          <w:u w:val="none"/>
          <w:vertAlign w:val="baseline"/>
        </w:rPr>
        <w:t>.</w:t>
      </w:r>
    </w:p>
  </w:footnote>
  <w:footnote w:id="3">
    <w:p>
      <w:pPr>
        <w:keepNext w:val="0"/>
        <w:widowControl w:val="0"/>
        <w:spacing w:before="120" w:after="0" w:line="240" w:lineRule="atLeast"/>
        <w:ind w:left="0" w:right="0" w:firstLine="0"/>
        <w:jc w:val="both"/>
      </w:pPr>
      <w:r>
        <w:rPr>
          <w:rFonts w:ascii="times" w:eastAsia="times" w:hAnsi="times" w:cs="times"/>
          <w:b w:val="0"/>
          <w:i w:val="0"/>
          <w:strike w:val="0"/>
          <w:noProof w:val="0"/>
          <w:color w:val="000000"/>
          <w:position w:val="0"/>
          <w:sz w:val="18"/>
          <w:u w:val="none"/>
          <w:vertAlign w:val="superscript"/>
        </w:rPr>
        <w:t>1 </w:t>
      </w:r>
      <w:bookmarkStart w:id="31" w:name="Bookmark_fnpara_2"/>
      <w:bookmarkEnd w:id="31"/>
      <w:r>
        <w:rPr>
          <w:rFonts w:ascii="times" w:eastAsia="times" w:hAnsi="times" w:cs="times"/>
          <w:b w:val="0"/>
          <w:i w:val="0"/>
          <w:strike w:val="0"/>
          <w:noProof w:val="0"/>
          <w:color w:val="000000"/>
          <w:position w:val="0"/>
          <w:sz w:val="18"/>
          <w:u w:val="none"/>
          <w:vertAlign w:val="baseline"/>
        </w:rPr>
        <w:t>After oral argument, the panel solicited and received the views of the Consumer Financial Protection Bureau (CFPB) concerning the interpretation of the relevant portions of RESPA and Regulation X.</w:t>
      </w:r>
    </w:p>
  </w:footnote>
  <w:footnote w:id="4">
    <w:p>
      <w:pPr>
        <w:keepNext w:val="0"/>
        <w:widowControl w:val="0"/>
        <w:spacing w:before="240" w:after="0" w:line="240" w:lineRule="atLeast"/>
        <w:ind w:left="0" w:right="0" w:firstLine="0"/>
        <w:jc w:val="both"/>
      </w:pPr>
      <w:r>
        <w:rPr>
          <w:rFonts w:ascii="times" w:eastAsia="times" w:hAnsi="times" w:cs="times"/>
          <w:b w:val="0"/>
          <w:i w:val="0"/>
          <w:strike w:val="0"/>
          <w:noProof w:val="0"/>
          <w:color w:val="000000"/>
          <w:position w:val="0"/>
          <w:sz w:val="18"/>
          <w:u w:val="none"/>
          <w:vertAlign w:val="superscript"/>
        </w:rPr>
        <w:t>2 </w:t>
      </w:r>
      <w:bookmarkStart w:id="38" w:name="Bookmark_fnpara_3"/>
      <w:bookmarkEnd w:id="38"/>
      <w:r>
        <w:rPr>
          <w:rFonts w:ascii="times" w:eastAsia="times" w:hAnsi="times" w:cs="times"/>
          <w:b w:val="0"/>
          <w:i w:val="0"/>
          <w:strike w:val="0"/>
          <w:noProof w:val="0"/>
          <w:color w:val="000000"/>
          <w:position w:val="0"/>
          <w:sz w:val="18"/>
          <w:u w:val="none"/>
          <w:vertAlign w:val="baseline"/>
        </w:rPr>
        <w:t xml:space="preserve">The ten enumerated covered errors in </w:t>
      </w:r>
      <w:hyperlink r:id="rId3" w:history="1">
        <w:r>
          <w:rPr>
            <w:rFonts w:ascii="times" w:eastAsia="times" w:hAnsi="times" w:cs="times"/>
            <w:b w:val="0"/>
            <w:i w:val="0"/>
            <w:strike w:val="0"/>
            <w:noProof w:val="0"/>
            <w:color w:val="0077CC"/>
            <w:position w:val="0"/>
            <w:sz w:val="18"/>
            <w:u w:val="single"/>
            <w:shd w:val="clear" w:color="auto" w:fill="FFFFFF"/>
            <w:vertAlign w:val="baseline"/>
          </w:rPr>
          <w:t>12 C.F.R. § 1024.35(b)</w:t>
        </w:r>
      </w:hyperlink>
      <w:r>
        <w:rPr>
          <w:rFonts w:ascii="times" w:eastAsia="times" w:hAnsi="times" w:cs="times"/>
          <w:b w:val="0"/>
          <w:i w:val="0"/>
          <w:strike w:val="0"/>
          <w:noProof w:val="0"/>
          <w:color w:val="000000"/>
          <w:position w:val="0"/>
          <w:sz w:val="18"/>
          <w:u w:val="none"/>
          <w:vertAlign w:val="baseline"/>
        </w:rPr>
        <w:t xml:space="preserve"> are:</w:t>
      </w:r>
    </w:p>
    <w:p>
      <w:pPr>
        <w:keepNext w:val="0"/>
        <w:widowControl w:val="0"/>
        <w:spacing w:before="120" w:after="0" w:line="240" w:lineRule="atLeast"/>
        <w:ind w:left="0" w:right="0" w:firstLine="0"/>
        <w:jc w:val="both"/>
      </w:pPr>
      <w:bookmarkStart w:id="39" w:name="Bookmark_fnpara_4"/>
      <w:bookmarkEnd w:id="39"/>
      <w:r>
        <w:rPr>
          <w:rFonts w:ascii="times" w:eastAsia="times" w:hAnsi="times" w:cs="times"/>
          <w:b w:val="0"/>
          <w:i w:val="0"/>
          <w:strike w:val="0"/>
          <w:noProof w:val="0"/>
          <w:color w:val="000000"/>
          <w:position w:val="0"/>
          <w:sz w:val="18"/>
          <w:u w:val="none"/>
          <w:vertAlign w:val="baseline"/>
        </w:rPr>
        <w:t>(1) Failure to accept a payment that conforms to the servicer's written requirements for the borrower to follow in making payments.</w:t>
      </w:r>
    </w:p>
    <w:p>
      <w:pPr>
        <w:keepNext w:val="0"/>
        <w:widowControl w:val="0"/>
        <w:spacing w:before="120" w:after="0" w:line="240" w:lineRule="atLeast"/>
        <w:ind w:left="0" w:right="0" w:firstLine="0"/>
        <w:jc w:val="both"/>
      </w:pPr>
      <w:bookmarkStart w:id="40" w:name="Bookmark_fnpara_5"/>
      <w:bookmarkEnd w:id="40"/>
      <w:r>
        <w:rPr>
          <w:rFonts w:ascii="times" w:eastAsia="times" w:hAnsi="times" w:cs="times"/>
          <w:b w:val="0"/>
          <w:i w:val="0"/>
          <w:strike w:val="0"/>
          <w:noProof w:val="0"/>
          <w:color w:val="000000"/>
          <w:position w:val="0"/>
          <w:sz w:val="18"/>
          <w:u w:val="none"/>
          <w:vertAlign w:val="baseline"/>
        </w:rPr>
        <w:t>(2) Failure to apply an accepted payment to principal, interest, escrow, or other charges under the terms of the mortgage loan and applicable law.</w:t>
      </w:r>
    </w:p>
    <w:p>
      <w:pPr>
        <w:keepNext w:val="0"/>
        <w:widowControl w:val="0"/>
        <w:spacing w:before="240" w:after="0" w:line="240" w:lineRule="atLeast"/>
        <w:ind w:left="0" w:right="0" w:firstLine="0"/>
        <w:jc w:val="both"/>
      </w:pPr>
      <w:bookmarkStart w:id="41" w:name="Bookmark_fnpara_6"/>
      <w:bookmarkEnd w:id="41"/>
      <w:r>
        <w:rPr>
          <w:rFonts w:ascii="times" w:eastAsia="times" w:hAnsi="times" w:cs="times"/>
          <w:b w:val="0"/>
          <w:i w:val="0"/>
          <w:strike w:val="0"/>
          <w:noProof w:val="0"/>
          <w:color w:val="000000"/>
          <w:position w:val="0"/>
          <w:sz w:val="18"/>
          <w:u w:val="none"/>
          <w:vertAlign w:val="baseline"/>
        </w:rPr>
        <w:t xml:space="preserve">(3) Failure to credit a payment to a borrower's mortgage loan account as of the date of receipt in violation of </w:t>
      </w:r>
      <w:hyperlink r:id="rId4" w:history="1">
        <w:r>
          <w:rPr>
            <w:rFonts w:ascii="times" w:eastAsia="times" w:hAnsi="times" w:cs="times"/>
            <w:b w:val="0"/>
            <w:i w:val="0"/>
            <w:strike w:val="0"/>
            <w:noProof w:val="0"/>
            <w:color w:val="0077CC"/>
            <w:position w:val="0"/>
            <w:sz w:val="18"/>
            <w:u w:val="single"/>
            <w:shd w:val="clear" w:color="auto" w:fill="FFFFFF"/>
            <w:vertAlign w:val="baseline"/>
          </w:rPr>
          <w:t>12 CFR 1026.36(c)(1)</w:t>
        </w:r>
      </w:hyperlink>
      <w:r>
        <w:rPr>
          <w:rFonts w:ascii="times" w:eastAsia="times" w:hAnsi="times" w:cs="times"/>
          <w:b w:val="0"/>
          <w:i w:val="0"/>
          <w:strike w:val="0"/>
          <w:noProof w:val="0"/>
          <w:color w:val="000000"/>
          <w:position w:val="0"/>
          <w:sz w:val="18"/>
          <w:u w:val="none"/>
          <w:vertAlign w:val="baseline"/>
        </w:rPr>
        <w:t>.</w:t>
      </w:r>
    </w:p>
    <w:p>
      <w:pPr>
        <w:keepNext w:val="0"/>
        <w:widowControl w:val="0"/>
        <w:spacing w:before="240" w:after="0" w:line="240" w:lineRule="atLeast"/>
        <w:ind w:left="0" w:right="0" w:firstLine="0"/>
        <w:jc w:val="both"/>
      </w:pPr>
      <w:bookmarkStart w:id="42" w:name="Bookmark_fnpara_7"/>
      <w:bookmarkEnd w:id="42"/>
      <w:r>
        <w:rPr>
          <w:rFonts w:ascii="times" w:eastAsia="times" w:hAnsi="times" w:cs="times"/>
          <w:b w:val="0"/>
          <w:i w:val="0"/>
          <w:strike w:val="0"/>
          <w:noProof w:val="0"/>
          <w:color w:val="000000"/>
          <w:position w:val="0"/>
          <w:sz w:val="18"/>
          <w:u w:val="none"/>
          <w:vertAlign w:val="baseline"/>
        </w:rPr>
        <w:t xml:space="preserve">(4) Failure to pay taxes, insurance premiums, or other charges, including charges that the borrower and servicer have voluntarily agreed that the servicer should collect and pay, in a timely manner as required by </w:t>
      </w:r>
      <w:hyperlink r:id="rId5" w:history="1">
        <w:r>
          <w:rPr>
            <w:rFonts w:ascii="times" w:eastAsia="times" w:hAnsi="times" w:cs="times"/>
            <w:b w:val="0"/>
            <w:i w:val="0"/>
            <w:strike w:val="0"/>
            <w:noProof w:val="0"/>
            <w:color w:val="0077CC"/>
            <w:position w:val="0"/>
            <w:sz w:val="18"/>
            <w:u w:val="single"/>
            <w:shd w:val="clear" w:color="auto" w:fill="FFFFFF"/>
            <w:vertAlign w:val="baseline"/>
          </w:rPr>
          <w:t>§ 1024.34(a)</w:t>
        </w:r>
      </w:hyperlink>
      <w:r>
        <w:rPr>
          <w:rFonts w:ascii="times" w:eastAsia="times" w:hAnsi="times" w:cs="times"/>
          <w:b w:val="0"/>
          <w:i w:val="0"/>
          <w:strike w:val="0"/>
          <w:noProof w:val="0"/>
          <w:color w:val="000000"/>
          <w:position w:val="0"/>
          <w:sz w:val="18"/>
          <w:u w:val="none"/>
          <w:vertAlign w:val="baseline"/>
        </w:rPr>
        <w:t xml:space="preserve">, or to refund an escrow account balance as required by </w:t>
      </w:r>
      <w:hyperlink r:id="rId5" w:history="1">
        <w:r>
          <w:rPr>
            <w:rFonts w:ascii="times" w:eastAsia="times" w:hAnsi="times" w:cs="times"/>
            <w:b w:val="0"/>
            <w:i w:val="0"/>
            <w:strike w:val="0"/>
            <w:noProof w:val="0"/>
            <w:color w:val="0077CC"/>
            <w:position w:val="0"/>
            <w:sz w:val="18"/>
            <w:u w:val="single"/>
            <w:shd w:val="clear" w:color="auto" w:fill="FFFFFF"/>
            <w:vertAlign w:val="baseline"/>
          </w:rPr>
          <w:t>§ 1024.34(b)</w:t>
        </w:r>
      </w:hyperlink>
      <w:r>
        <w:rPr>
          <w:rFonts w:ascii="times" w:eastAsia="times" w:hAnsi="times" w:cs="times"/>
          <w:b w:val="0"/>
          <w:i w:val="0"/>
          <w:strike w:val="0"/>
          <w:noProof w:val="0"/>
          <w:color w:val="000000"/>
          <w:position w:val="0"/>
          <w:sz w:val="18"/>
          <w:u w:val="none"/>
          <w:vertAlign w:val="baseline"/>
        </w:rPr>
        <w:t>.</w:t>
      </w:r>
    </w:p>
    <w:p>
      <w:pPr>
        <w:keepNext w:val="0"/>
        <w:widowControl w:val="0"/>
        <w:spacing w:before="120" w:after="0" w:line="240" w:lineRule="atLeast"/>
        <w:ind w:left="0" w:right="0" w:firstLine="0"/>
        <w:jc w:val="both"/>
      </w:pPr>
      <w:bookmarkStart w:id="43" w:name="Bookmark_fnpara_8"/>
      <w:bookmarkEnd w:id="43"/>
      <w:r>
        <w:rPr>
          <w:rFonts w:ascii="times" w:eastAsia="times" w:hAnsi="times" w:cs="times"/>
          <w:b w:val="0"/>
          <w:i w:val="0"/>
          <w:strike w:val="0"/>
          <w:noProof w:val="0"/>
          <w:color w:val="000000"/>
          <w:position w:val="0"/>
          <w:sz w:val="18"/>
          <w:u w:val="none"/>
          <w:vertAlign w:val="baseline"/>
        </w:rPr>
        <w:t>(5) Imposition of a fee or charge that the servicer lacks a reasonable basis to impose upon the borrower.</w:t>
      </w:r>
    </w:p>
    <w:p>
      <w:pPr>
        <w:keepNext w:val="0"/>
        <w:widowControl w:val="0"/>
        <w:spacing w:before="240" w:after="0" w:line="240" w:lineRule="atLeast"/>
        <w:ind w:left="0" w:right="0" w:firstLine="0"/>
        <w:jc w:val="both"/>
      </w:pPr>
      <w:bookmarkStart w:id="44" w:name="Bookmark_fnpara_9"/>
      <w:bookmarkEnd w:id="44"/>
      <w:r>
        <w:rPr>
          <w:rFonts w:ascii="times" w:eastAsia="times" w:hAnsi="times" w:cs="times"/>
          <w:b w:val="0"/>
          <w:i w:val="0"/>
          <w:strike w:val="0"/>
          <w:noProof w:val="0"/>
          <w:color w:val="000000"/>
          <w:position w:val="0"/>
          <w:sz w:val="18"/>
          <w:u w:val="none"/>
          <w:vertAlign w:val="baseline"/>
        </w:rPr>
        <w:t xml:space="preserve">(6) Failure to provide an accurate payoff balance amount upon a borrower's request in violation of </w:t>
      </w:r>
      <w:hyperlink r:id="rId4" w:history="1">
        <w:r>
          <w:rPr>
            <w:rFonts w:ascii="times" w:eastAsia="times" w:hAnsi="times" w:cs="times"/>
            <w:b w:val="0"/>
            <w:i w:val="0"/>
            <w:strike w:val="0"/>
            <w:noProof w:val="0"/>
            <w:color w:val="0077CC"/>
            <w:position w:val="0"/>
            <w:sz w:val="18"/>
            <w:u w:val="single"/>
            <w:shd w:val="clear" w:color="auto" w:fill="FFFFFF"/>
            <w:vertAlign w:val="baseline"/>
          </w:rPr>
          <w:t>section 12 CFR 1026.36(c)(3)</w:t>
        </w:r>
      </w:hyperlink>
      <w:r>
        <w:rPr>
          <w:rFonts w:ascii="times" w:eastAsia="times" w:hAnsi="times" w:cs="times"/>
          <w:b w:val="0"/>
          <w:i w:val="0"/>
          <w:strike w:val="0"/>
          <w:noProof w:val="0"/>
          <w:color w:val="000000"/>
          <w:position w:val="0"/>
          <w:sz w:val="18"/>
          <w:u w:val="none"/>
          <w:vertAlign w:val="baseline"/>
        </w:rPr>
        <w:t>.</w:t>
      </w:r>
    </w:p>
    <w:p>
      <w:pPr>
        <w:keepNext w:val="0"/>
        <w:widowControl w:val="0"/>
        <w:spacing w:before="240" w:after="0" w:line="240" w:lineRule="atLeast"/>
        <w:ind w:left="0" w:right="0" w:firstLine="0"/>
        <w:jc w:val="both"/>
      </w:pPr>
      <w:bookmarkStart w:id="45" w:name="Bookmark_fnpara_10"/>
      <w:bookmarkEnd w:id="45"/>
      <w:r>
        <w:rPr>
          <w:rFonts w:ascii="times" w:eastAsia="times" w:hAnsi="times" w:cs="times"/>
          <w:b w:val="0"/>
          <w:i w:val="0"/>
          <w:strike w:val="0"/>
          <w:noProof w:val="0"/>
          <w:color w:val="000000"/>
          <w:position w:val="0"/>
          <w:sz w:val="18"/>
          <w:u w:val="none"/>
          <w:vertAlign w:val="baseline"/>
        </w:rPr>
        <w:t xml:space="preserve">(7) Failure to provide accurate information to a borrower regarding loss mitigation options and foreclosure, as required by </w:t>
      </w:r>
      <w:hyperlink r:id="rId4" w:history="1">
        <w:r>
          <w:rPr>
            <w:rFonts w:ascii="times" w:eastAsia="times" w:hAnsi="times" w:cs="times"/>
            <w:b w:val="0"/>
            <w:i w:val="0"/>
            <w:strike w:val="0"/>
            <w:noProof w:val="0"/>
            <w:color w:val="0077CC"/>
            <w:position w:val="0"/>
            <w:sz w:val="18"/>
            <w:u w:val="single"/>
            <w:shd w:val="clear" w:color="auto" w:fill="FFFFFF"/>
            <w:vertAlign w:val="baseline"/>
          </w:rPr>
          <w:t>§ 1024.39</w:t>
        </w:r>
      </w:hyperlink>
      <w:r>
        <w:rPr>
          <w:rFonts w:ascii="times" w:eastAsia="times" w:hAnsi="times" w:cs="times"/>
          <w:b w:val="0"/>
          <w:i w:val="0"/>
          <w:strike w:val="0"/>
          <w:noProof w:val="0"/>
          <w:color w:val="000000"/>
          <w:position w:val="0"/>
          <w:sz w:val="18"/>
          <w:u w:val="none"/>
          <w:vertAlign w:val="baseline"/>
        </w:rPr>
        <w:t>.</w:t>
      </w:r>
    </w:p>
    <w:p>
      <w:pPr>
        <w:keepNext w:val="0"/>
        <w:widowControl w:val="0"/>
        <w:spacing w:before="120" w:after="0" w:line="240" w:lineRule="atLeast"/>
        <w:ind w:left="0" w:right="0" w:firstLine="0"/>
        <w:jc w:val="both"/>
      </w:pPr>
      <w:bookmarkStart w:id="46" w:name="Bookmark_fnpara_11"/>
      <w:bookmarkEnd w:id="46"/>
      <w:r>
        <w:rPr>
          <w:rFonts w:ascii="times" w:eastAsia="times" w:hAnsi="times" w:cs="times"/>
          <w:b w:val="0"/>
          <w:i w:val="0"/>
          <w:strike w:val="0"/>
          <w:noProof w:val="0"/>
          <w:color w:val="000000"/>
          <w:position w:val="0"/>
          <w:sz w:val="18"/>
          <w:u w:val="none"/>
          <w:vertAlign w:val="baseline"/>
        </w:rPr>
        <w:t>(8) Failure to transfer accurately and timely information relating to the servicing of a borrower's mortgage loan account to a transferee servicer.</w:t>
      </w:r>
    </w:p>
    <w:p>
      <w:pPr>
        <w:keepNext w:val="0"/>
        <w:widowControl w:val="0"/>
        <w:spacing w:before="240" w:after="0" w:line="240" w:lineRule="atLeast"/>
        <w:ind w:left="0" w:right="0" w:firstLine="0"/>
        <w:jc w:val="both"/>
      </w:pPr>
      <w:bookmarkStart w:id="47" w:name="Bookmark_fnpara_12"/>
      <w:bookmarkEnd w:id="47"/>
      <w:r>
        <w:rPr>
          <w:rFonts w:ascii="times" w:eastAsia="times" w:hAnsi="times" w:cs="times"/>
          <w:b w:val="0"/>
          <w:i w:val="0"/>
          <w:strike w:val="0"/>
          <w:noProof w:val="0"/>
          <w:color w:val="000000"/>
          <w:position w:val="0"/>
          <w:sz w:val="18"/>
          <w:u w:val="none"/>
          <w:vertAlign w:val="baseline"/>
        </w:rPr>
        <w:t xml:space="preserve">(9) Making the first notice or filing required by applicable law for any judicial or non-judicial foreclosure process in violation of </w:t>
      </w:r>
      <w:hyperlink r:id="rId6" w:history="1">
        <w:r>
          <w:rPr>
            <w:rFonts w:ascii="times" w:eastAsia="times" w:hAnsi="times" w:cs="times"/>
            <w:b w:val="0"/>
            <w:i w:val="0"/>
            <w:strike w:val="0"/>
            <w:noProof w:val="0"/>
            <w:color w:val="0077CC"/>
            <w:position w:val="0"/>
            <w:sz w:val="18"/>
            <w:u w:val="single"/>
            <w:shd w:val="clear" w:color="auto" w:fill="FFFFFF"/>
            <w:vertAlign w:val="baseline"/>
          </w:rPr>
          <w:t>§ 1024.41(f)</w:t>
        </w:r>
      </w:hyperlink>
      <w:r>
        <w:rPr>
          <w:rFonts w:ascii="times" w:eastAsia="times" w:hAnsi="times" w:cs="times"/>
          <w:b w:val="0"/>
          <w:i w:val="0"/>
          <w:strike w:val="0"/>
          <w:noProof w:val="0"/>
          <w:color w:val="000000"/>
          <w:position w:val="0"/>
          <w:sz w:val="18"/>
          <w:u w:val="none"/>
          <w:vertAlign w:val="baseline"/>
        </w:rPr>
        <w:t xml:space="preserve"> or </w:t>
      </w:r>
      <w:hyperlink r:id="rId6" w:history="1">
        <w:r>
          <w:rPr>
            <w:rFonts w:ascii="times" w:eastAsia="times" w:hAnsi="times" w:cs="times"/>
            <w:b w:val="0"/>
            <w:i w:val="0"/>
            <w:strike w:val="0"/>
            <w:noProof w:val="0"/>
            <w:color w:val="0077CC"/>
            <w:position w:val="0"/>
            <w:sz w:val="18"/>
            <w:u w:val="single"/>
            <w:shd w:val="clear" w:color="auto" w:fill="FFFFFF"/>
            <w:vertAlign w:val="baseline"/>
          </w:rPr>
          <w:t>(j)</w:t>
        </w:r>
      </w:hyperlink>
      <w:r>
        <w:rPr>
          <w:rFonts w:ascii="times" w:eastAsia="times" w:hAnsi="times" w:cs="times"/>
          <w:b w:val="0"/>
          <w:i w:val="0"/>
          <w:strike w:val="0"/>
          <w:noProof w:val="0"/>
          <w:color w:val="000000"/>
          <w:position w:val="0"/>
          <w:sz w:val="18"/>
          <w:u w:val="none"/>
          <w:vertAlign w:val="baseline"/>
        </w:rPr>
        <w:t>.</w:t>
      </w:r>
    </w:p>
    <w:p>
      <w:pPr>
        <w:keepNext w:val="0"/>
        <w:widowControl w:val="0"/>
        <w:spacing w:before="240" w:after="0" w:line="240" w:lineRule="atLeast"/>
        <w:ind w:left="0" w:right="0" w:firstLine="0"/>
        <w:jc w:val="both"/>
      </w:pPr>
      <w:bookmarkStart w:id="48" w:name="Bookmark_fnpara_13"/>
      <w:bookmarkEnd w:id="48"/>
      <w:r>
        <w:rPr>
          <w:rFonts w:ascii="times" w:eastAsia="times" w:hAnsi="times" w:cs="times"/>
          <w:b w:val="0"/>
          <w:i w:val="0"/>
          <w:strike w:val="0"/>
          <w:noProof w:val="0"/>
          <w:color w:val="000000"/>
          <w:position w:val="0"/>
          <w:sz w:val="18"/>
          <w:u w:val="none"/>
          <w:vertAlign w:val="baseline"/>
        </w:rPr>
        <w:t xml:space="preserve">(10) Moving for foreclosure judgment or order of sale, or conducting a foreclosure sale in violation of </w:t>
      </w:r>
      <w:hyperlink r:id="rId6" w:history="1">
        <w:r>
          <w:rPr>
            <w:rFonts w:ascii="times" w:eastAsia="times" w:hAnsi="times" w:cs="times"/>
            <w:b w:val="0"/>
            <w:i w:val="0"/>
            <w:strike w:val="0"/>
            <w:noProof w:val="0"/>
            <w:color w:val="0077CC"/>
            <w:position w:val="0"/>
            <w:sz w:val="18"/>
            <w:u w:val="single"/>
            <w:shd w:val="clear" w:color="auto" w:fill="FFFFFF"/>
            <w:vertAlign w:val="baseline"/>
          </w:rPr>
          <w:t>§ 1024.41(g)</w:t>
        </w:r>
      </w:hyperlink>
      <w:r>
        <w:rPr>
          <w:rFonts w:ascii="times" w:eastAsia="times" w:hAnsi="times" w:cs="times"/>
          <w:b w:val="0"/>
          <w:i w:val="0"/>
          <w:strike w:val="0"/>
          <w:noProof w:val="0"/>
          <w:color w:val="000000"/>
          <w:position w:val="0"/>
          <w:sz w:val="18"/>
          <w:u w:val="none"/>
          <w:vertAlign w:val="baseline"/>
        </w:rPr>
        <w:t xml:space="preserve"> or </w:t>
      </w:r>
      <w:hyperlink r:id="rId6" w:history="1">
        <w:r>
          <w:rPr>
            <w:rFonts w:ascii="times" w:eastAsia="times" w:hAnsi="times" w:cs="times"/>
            <w:b w:val="0"/>
            <w:i w:val="0"/>
            <w:strike w:val="0"/>
            <w:noProof w:val="0"/>
            <w:color w:val="0077CC"/>
            <w:position w:val="0"/>
            <w:sz w:val="18"/>
            <w:u w:val="single"/>
            <w:shd w:val="clear" w:color="auto" w:fill="FFFFFF"/>
            <w:vertAlign w:val="baseline"/>
          </w:rPr>
          <w:t>(j)</w:t>
        </w:r>
      </w:hyperlink>
      <w:r>
        <w:rPr>
          <w:rFonts w:ascii="times" w:eastAsia="times" w:hAnsi="times" w:cs="times"/>
          <w:b w:val="0"/>
          <w:i w:val="0"/>
          <w:strike w:val="0"/>
          <w:noProof w:val="0"/>
          <w:color w:val="000000"/>
          <w:position w:val="0"/>
          <w:sz w:val="18"/>
          <w:u w:val="none"/>
          <w:vertAlign w:val="baseline"/>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jc w:val="center"/>
      <w:tblBorders>
        <w:top w:val="nil"/>
        <w:left w:val="nil"/>
        <w:bottom w:val="nil"/>
        <w:right w:val="nil"/>
        <w:insideH w:val="nil"/>
        <w:insideV w:val="nil"/>
      </w:tblBorders>
      <w:tblLayout w:type="fixed"/>
      <w:tblCellMar>
        <w:left w:w="108" w:type="dxa"/>
        <w:right w:w="108" w:type="dxa"/>
      </w:tblCellMar>
    </w:tblPr>
    <w:tblGrid>
      <w:gridCol w:w="10080"/>
    </w:tblGrid>
    <w:tr>
      <w:tblPrEx>
        <w:tblW w:w="10080" w:type="dxa"/>
        <w:jc w:val="center"/>
        <w:tblBorders>
          <w:top w:val="nil"/>
          <w:left w:val="nil"/>
          <w:bottom w:val="nil"/>
          <w:right w:val="nil"/>
          <w:insideH w:val="nil"/>
          <w:insideV w:val="nil"/>
        </w:tblBorders>
        <w:tblLayout w:type="fixed"/>
        <w:tblCellMar>
          <w:left w:w="108" w:type="dxa"/>
          <w:right w:w="108" w:type="dxa"/>
        </w:tblCellMar>
      </w:tblPrEx>
      <w:trPr>
        <w:jc w:val="center"/>
      </w:trPr>
      <w:tc>
        <w:tcPr>
          <w:tcW w:w="10080" w:type="dxa"/>
          <w:vAlign w:val="center"/>
        </w:tcPr>
        <w:p/>
      </w:tc>
    </w:tr>
    <w:tr>
      <w:tblPrEx>
        <w:tblW w:w="10080" w:type="dxa"/>
        <w:jc w:val="center"/>
        <w:tblLayout w:type="fixed"/>
        <w:tblCellMar>
          <w:left w:w="108" w:type="dxa"/>
          <w:right w:w="108" w:type="dxa"/>
        </w:tblCellMar>
      </w:tblPrEx>
      <w:trPr>
        <w:jc w:val="center"/>
      </w:trPr>
      <w:tc>
        <w:tcPr>
          <w:tcW w:w="10080" w:type="dxa"/>
        </w:tcPr>
        <w:p>
          <w:pPr>
            <w:spacing w:before="60" w:after="200"/>
            <w:jc w:val="center"/>
          </w:pPr>
          <w:r>
            <w:rPr>
              <w:rFonts w:ascii="times" w:eastAsia="times" w:hAnsi="times" w:cs="times"/>
              <w:sz w:val="20"/>
            </w:rPr>
            <w:t>Naimoli v. Ocwen Loan Servicing, LLC</w:t>
          </w:r>
        </w:p>
      </w:tc>
    </w:tr>
  </w:tbl>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footnotePr>
    <w:footnote w:id="0"/>
    <w:footnote w:id="1"/>
  </w:foot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advance.lexis.com/api/document?collection=statutes-legislation&amp;id=urn:contentItem:8SF8-7342-D6RV-H2BW-00000-00&amp;context=1000516" TargetMode="External" /><Relationship Id="rId11" Type="http://schemas.openxmlformats.org/officeDocument/2006/relationships/hyperlink" Target="https://advance.lexis.com/api/document?collection=administrative-codes&amp;id=urn:contentItem:603F-5MF1-DYB7-W3TM-00000-00&amp;context=1000516" TargetMode="External" /><Relationship Id="rId12" Type="http://schemas.openxmlformats.org/officeDocument/2006/relationships/hyperlink" Target="https://advance.lexis.com/api/document?collection=cases&amp;id=urn:contentItem:5YSP-FHD1-JB7K-2519-00000-00&amp;context=1000516" TargetMode="External" /><Relationship Id="rId13" Type="http://schemas.openxmlformats.org/officeDocument/2006/relationships/hyperlink" Target="https://advance.lexis.com/api/document?collection=cases&amp;id=urn:contentItem:5RJ2-8FR1-JJ1H-X3SX-00000-00&amp;context=1000516" TargetMode="External" /><Relationship Id="rId14" Type="http://schemas.openxmlformats.org/officeDocument/2006/relationships/hyperlink" Target="https://advance.lexis.com/api/document?collection=statutes-legislation&amp;id=urn:contentItem:8SF8-7342-D6RV-H33D-00000-00&amp;context=1000516" TargetMode="External" /><Relationship Id="rId15" Type="http://schemas.openxmlformats.org/officeDocument/2006/relationships/hyperlink" Target="https://advance.lexis.com/api/document?collection=statutes-legislation&amp;id=urn:contentItem:8SF8-7342-D6RV-H33T-00000-00&amp;context=1000516" TargetMode="External" /><Relationship Id="rId16" Type="http://schemas.openxmlformats.org/officeDocument/2006/relationships/hyperlink" Target="https://advance.lexis.com/api/document?collection=cases&amp;id=urn:contentItem:82VK-0G21-652J-D2MK-00000-00&amp;context=1000516" TargetMode="External" /><Relationship Id="rId17" Type="http://schemas.openxmlformats.org/officeDocument/2006/relationships/hyperlink" Target="https://advance.lexis.com/api/document?collection=administrative-codes&amp;id=urn:contentItem:57RM-RF40-006W-83BG-00000-00&amp;context=1000516" TargetMode="External" /><Relationship Id="rId18" Type="http://schemas.openxmlformats.org/officeDocument/2006/relationships/hyperlink" Target="https://advance.lexis.com/api/document?collection=cases&amp;id=urn:contentItem:5MM6-8G91-F04F-03N3-00000-00&amp;context=1000516" TargetMode="External" /><Relationship Id="rId19" Type="http://schemas.openxmlformats.org/officeDocument/2006/relationships/hyperlink" Target="https://advance.lexis.com/api/document?collection=administrative-codes&amp;id=urn:contentItem:632K-BKK3-GXJ9-355T-00000-00&amp;context=1000516" TargetMode="External" /><Relationship Id="rId2" Type="http://schemas.openxmlformats.org/officeDocument/2006/relationships/settings" Target="settings.xml" /><Relationship Id="rId20" Type="http://schemas.openxmlformats.org/officeDocument/2006/relationships/hyperlink" Target="https://advance.lexis.com/api/document?collection=cases&amp;id=urn:contentItem:3S4X-3BF0-003B-S30X-00000-00&amp;context=1000516" TargetMode="External" /><Relationship Id="rId21" Type="http://schemas.openxmlformats.org/officeDocument/2006/relationships/hyperlink" Target="https://advance.lexis.com/api/document?collection=cases&amp;id=urn:contentItem:439D-5G40-004B-Y04Y-00000-00&amp;context=1000516" TargetMode="External" /><Relationship Id="rId22" Type="http://schemas.openxmlformats.org/officeDocument/2006/relationships/hyperlink" Target="https://advance.lexis.com/api/document?collection=cases&amp;id=urn:contentItem:3RHM-BW50-003B-R0D9-00000-00&amp;context=1000516" TargetMode="External" /><Relationship Id="rId23" Type="http://schemas.openxmlformats.org/officeDocument/2006/relationships/hyperlink" Target="https://advance.lexis.com/api/document?collection=cases&amp;id=urn:contentItem:4V4F-W510-TXFX-42PG-00000-00&amp;context=1000516" TargetMode="External" /><Relationship Id="rId24" Type="http://schemas.openxmlformats.org/officeDocument/2006/relationships/hyperlink" Target="https://advance.lexis.com/api/document?collection=cases&amp;id=urn:contentItem:5WF0-XPS1-JW5H-X1WS-00000-00&amp;context=1000516" TargetMode="External" /><Relationship Id="rId25" Type="http://schemas.openxmlformats.org/officeDocument/2006/relationships/hyperlink" Target="https://advance.lexis.com/api/document?collection=cases&amp;id=urn:contentItem:3S4W-XF40-003B-R3RS-00000-00&amp;context=1000516" TargetMode="External" /><Relationship Id="rId26" Type="http://schemas.openxmlformats.org/officeDocument/2006/relationships/hyperlink" Target="https://advance.lexis.com/api/document?collection=administrative-codes&amp;id=urn:contentItem:603F-5MF1-DYB7-W3SK-00000-00&amp;context=1000516" TargetMode="External" /><Relationship Id="rId27" Type="http://schemas.openxmlformats.org/officeDocument/2006/relationships/hyperlink" Target="https://advance.lexis.com/api/document?collection=administrative-codes&amp;id=urn:contentItem:603F-5MF1-DYB7-W3TN-00000-00&amp;context=1000516" TargetMode="Externa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image" Target="media/image1.png" /><Relationship Id="rId9" Type="http://schemas.openxmlformats.org/officeDocument/2006/relationships/hyperlink" Target="https://advance.lexis.com/api/document?collection=cases&amp;id=urn:contentItem:64H2-FS11-FCK4-G0HD-00000-00&amp;context=1000516"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advance.lexis.com/api/document?collection=statutes-legislation&amp;id=urn:contentItem:8SG9-5HV2-D6RV-H55T-00000-00&amp;context=1000516" TargetMode="External" /><Relationship Id="rId2" Type="http://schemas.openxmlformats.org/officeDocument/2006/relationships/hyperlink" Target="https://advance.lexis.com/api/document?collection=cases&amp;id=urn:contentItem:3SFV-KXD0-0038-X45M-00000-00&amp;context=1000516" TargetMode="External" /><Relationship Id="rId3" Type="http://schemas.openxmlformats.org/officeDocument/2006/relationships/hyperlink" Target="https://advance.lexis.com/api/document?collection=administrative-codes&amp;id=urn:contentItem:603F-5MF1-DYB7-W3TM-00000-00&amp;context=1000516" TargetMode="External" /><Relationship Id="rId4" Type="http://schemas.openxmlformats.org/officeDocument/2006/relationships/hyperlink" Target="https://advance.lexis.com/api/document?collection=administrative-codes&amp;id=urn:contentItem:648H-3T13-GXJ9-32H8-00000-00&amp;context=1000516" TargetMode="External" /><Relationship Id="rId5" Type="http://schemas.openxmlformats.org/officeDocument/2006/relationships/hyperlink" Target="https://advance.lexis.com/api/document?collection=administrative-codes&amp;id=urn:contentItem:603F-5MF1-DYB7-W3TK-00000-00&amp;context=1000516" TargetMode="External" /><Relationship Id="rId6" Type="http://schemas.openxmlformats.org/officeDocument/2006/relationships/hyperlink" Target="https://advance.lexis.com/api/document?collection=administrative-codes&amp;id=urn:contentItem:632K-BKK3-GXJ9-355T-00000-00&amp;context=100051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Naimoli v. Ocwen Loan Servicing, LLC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168850010</vt:lpwstr>
  </property>
  <property fmtid="{D5CDD505-2E9C-101B-9397-08002B2CF9AE}" pid="3" name="LADocCount">
    <vt:lpwstr>1</vt:lpwstr>
  </property>
  <property fmtid="{D5CDD505-2E9C-101B-9397-08002B2CF9AE}" pid="4" name="UserPermID">
    <vt:lpwstr>urn:user:PA5500103</vt:lpwstr>
  </property>
</Properties>
</file>