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9.0 -->
  <w:body>
    <w:p>
      <w:pPr>
        <w:sectPr>
          <w:headerReference w:type="default" r:id="rId5"/>
          <w:footerReference w:type="default" r:id="rId6"/>
          <w:footerReference w:type="first" r:id="rId7"/>
          <w:pgSz w:w="12240" w:h="15840"/>
          <w:pgMar w:top="840" w:right="1000" w:bottom="840" w:left="1000" w:header="400" w:footer="400"/>
          <w:pgNumType w:fmt="decimal"/>
          <w:cols w:space="720"/>
          <w:titlePg/>
        </w:sectPr>
      </w:pPr>
    </w:p>
    <w:p>
      <w:bookmarkStart w:id="0" w:name="Bookmark_1"/>
      <w:bookmarkEnd w:id="0"/>
    </w:p>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exisNexis®" style="width:147.75pt;height:30pt">
            <v:imagedata r:id="rId8" o:title=""/>
          </v:shape>
        </w:pict>
      </w:r>
      <w:r>
        <w:cr/>
      </w:r>
    </w:p>
    <w:p>
      <w:pPr>
        <w:pStyle w:val="Heading1"/>
        <w:keepNext w:val="0"/>
        <w:widowControl w:val="0"/>
        <w:spacing w:after="200" w:line="340" w:lineRule="atLeast"/>
        <w:ind w:left="0" w:right="0" w:firstLine="0"/>
        <w:jc w:val="center"/>
      </w:pPr>
      <w:hyperlink r:id="rId9" w:history="1">
        <w:r>
          <w:rPr>
            <w:rFonts w:ascii="times" w:eastAsia="times" w:hAnsi="times" w:cs="times"/>
            <w:b/>
            <w:i w:val="0"/>
            <w:strike w:val="0"/>
            <w:color w:val="0077CC"/>
            <w:sz w:val="28"/>
            <w:u w:val="single"/>
            <w:shd w:val="clear" w:color="auto" w:fill="FFFFFF"/>
            <w:vertAlign w:val="baseline"/>
          </w:rPr>
          <w:t>Morgan v. Caliber Home Loans, Inc.</w:t>
        </w:r>
      </w:hyperlink>
    </w:p>
    <w:p>
      <w:pPr>
        <w:keepNext w:val="0"/>
        <w:widowControl w:val="0"/>
        <w:spacing w:before="120" w:after="0" w:line="260" w:lineRule="atLeast"/>
        <w:ind w:left="0" w:right="0" w:firstLine="0"/>
        <w:jc w:val="center"/>
      </w:pPr>
      <w:r>
        <w:rPr>
          <w:rFonts w:ascii="times" w:eastAsia="times" w:hAnsi="times" w:cs="times"/>
          <w:b w:val="0"/>
          <w:i w:val="0"/>
          <w:strike w:val="0"/>
          <w:noProof w:val="0"/>
          <w:color w:val="000000"/>
          <w:position w:val="0"/>
          <w:sz w:val="20"/>
          <w:u w:val="none"/>
          <w:vertAlign w:val="baseline"/>
        </w:rPr>
        <w:t>United States Court of Appeals for the Fourth Circuit</w:t>
      </w:r>
    </w:p>
    <w:p>
      <w:pPr>
        <w:keepNext w:val="0"/>
        <w:widowControl w:val="0"/>
        <w:spacing w:before="120" w:after="0" w:line="260" w:lineRule="atLeast"/>
        <w:ind w:left="0" w:right="0" w:firstLine="0"/>
        <w:jc w:val="center"/>
      </w:pPr>
      <w:r>
        <w:rPr>
          <w:rFonts w:ascii="times" w:eastAsia="times" w:hAnsi="times" w:cs="times"/>
          <w:b w:val="0"/>
          <w:i w:val="0"/>
          <w:strike w:val="0"/>
          <w:noProof w:val="0"/>
          <w:color w:val="000000"/>
          <w:position w:val="0"/>
          <w:sz w:val="20"/>
          <w:u w:val="none"/>
          <w:vertAlign w:val="baseline"/>
        </w:rPr>
        <w:t>September 22, 2021, Argued; February 22, 2022, Decided</w:t>
      </w:r>
    </w:p>
    <w:p>
      <w:pPr>
        <w:keepNext w:val="0"/>
        <w:widowControl w:val="0"/>
        <w:spacing w:before="120" w:after="0" w:line="260" w:lineRule="atLeast"/>
        <w:ind w:left="0" w:right="0" w:firstLine="0"/>
        <w:jc w:val="center"/>
        <w:sectPr>
          <w:type w:val="continuous"/>
          <w:pgMar w:top="840" w:right="1000" w:bottom="840" w:left="1000" w:header="400" w:footer="400"/>
          <w:pgNumType w:fmt="decimal"/>
          <w:cols w:num="1" w:space="240" w:equalWidth="1"/>
        </w:sectPr>
      </w:pPr>
      <w:r>
        <w:rPr>
          <w:rFonts w:ascii="times" w:eastAsia="times" w:hAnsi="times" w:cs="times"/>
          <w:b w:val="0"/>
          <w:i w:val="0"/>
          <w:strike w:val="0"/>
          <w:noProof w:val="0"/>
          <w:color w:val="000000"/>
          <w:position w:val="0"/>
          <w:sz w:val="20"/>
          <w:u w:val="none"/>
          <w:vertAlign w:val="baseline"/>
        </w:rPr>
        <w:t>No. 20-1745</w:t>
      </w:r>
    </w:p>
    <w:p>
      <w:pPr>
        <w:keepNext w:val="0"/>
        <w:widowControl w:val="0"/>
        <w:spacing w:after="0" w:line="240" w:lineRule="atLeast"/>
        <w:ind w:right="0"/>
        <w:jc w:val="both"/>
      </w:pPr>
    </w:p>
    <w:p>
      <w:pPr>
        <w:keepNext w:val="0"/>
        <w:widowControl w:val="0"/>
        <w:spacing w:before="200" w:after="0" w:line="240" w:lineRule="atLeast"/>
        <w:ind w:left="0" w:right="0" w:firstLine="0"/>
        <w:jc w:val="left"/>
      </w:pPr>
      <w:bookmarkStart w:id="1" w:name="Reporter"/>
      <w:bookmarkEnd w:id="1"/>
      <w:r>
        <w:rPr>
          <w:rFonts w:ascii="times" w:eastAsia="times" w:hAnsi="times" w:cs="times"/>
          <w:b/>
          <w:i w:val="0"/>
          <w:strike w:val="0"/>
          <w:noProof w:val="0"/>
          <w:color w:val="000000"/>
          <w:position w:val="0"/>
          <w:sz w:val="18"/>
          <w:u w:val="none"/>
          <w:vertAlign w:val="baseline"/>
        </w:rPr>
        <w:t>Reporter</w:t>
      </w:r>
    </w:p>
    <w:p>
      <w:pPr>
        <w:keepNext w:val="0"/>
        <w:widowControl w:val="0"/>
        <w:spacing w:after="0" w:line="240" w:lineRule="atLeast"/>
        <w:ind w:left="0" w:right="0" w:firstLine="0"/>
        <w:jc w:val="left"/>
        <w:sectPr>
          <w:type w:val="continuous"/>
          <w:pgMar w:top="840" w:right="1000" w:bottom="840" w:left="1000" w:header="400" w:footer="400"/>
          <w:pgNumType w:fmt="decimal"/>
          <w:cols w:num="1" w:space="240" w:equalWidth="1"/>
        </w:sectPr>
      </w:pPr>
      <w:r>
        <w:rPr>
          <w:rFonts w:ascii="times" w:eastAsia="times" w:hAnsi="times" w:cs="times"/>
          <w:b w:val="0"/>
          <w:i w:val="0"/>
          <w:strike w:val="0"/>
          <w:noProof w:val="0"/>
          <w:color w:val="000000"/>
          <w:position w:val="0"/>
          <w:sz w:val="18"/>
          <w:u w:val="none"/>
          <w:vertAlign w:val="baseline"/>
        </w:rPr>
        <w:t>2022 U.S. App. LEXIS 4728 *</w:t>
      </w:r>
      <w:r>
        <w:rPr>
          <w:rFonts w:ascii="times" w:eastAsia="times" w:hAnsi="times" w:cs="times"/>
          <w:b w:val="0"/>
          <w:i w:val="0"/>
          <w:strike w:val="0"/>
          <w:noProof w:val="0"/>
          <w:color w:val="000000"/>
          <w:position w:val="0"/>
          <w:sz w:val="18"/>
          <w:u w:val="none"/>
          <w:vertAlign w:val="baseline"/>
        </w:rPr>
        <w:t xml:space="preserve">; </w:t>
      </w:r>
      <w:r>
        <w:rPr>
          <w:rFonts w:ascii="times" w:eastAsia="times" w:hAnsi="times" w:cs="times"/>
          <w:b w:val="0"/>
          <w:i w:val="0"/>
          <w:strike w:val="0"/>
          <w:noProof w:val="0"/>
          <w:color w:val="000000"/>
          <w:position w:val="0"/>
          <w:sz w:val="18"/>
          <w:u w:val="none"/>
          <w:vertAlign w:val="baseline"/>
        </w:rPr>
        <w:t>26 F.4th 643</w:t>
      </w:r>
      <w:r>
        <w:rPr>
          <w:rFonts w:ascii="times" w:eastAsia="times" w:hAnsi="times" w:cs="times"/>
          <w:b w:val="0"/>
          <w:i w:val="0"/>
          <w:strike w:val="0"/>
          <w:noProof w:val="0"/>
          <w:color w:val="000000"/>
          <w:position w:val="0"/>
          <w:sz w:val="18"/>
          <w:u w:val="none"/>
          <w:vertAlign w:val="baseline"/>
        </w:rPr>
        <w:t xml:space="preserve">; </w:t>
      </w:r>
      <w:r>
        <w:rPr>
          <w:rFonts w:ascii="times" w:eastAsia="times" w:hAnsi="times" w:cs="times"/>
          <w:b w:val="0"/>
          <w:i w:val="0"/>
          <w:strike w:val="0"/>
          <w:noProof w:val="0"/>
          <w:color w:val="000000"/>
          <w:position w:val="0"/>
          <w:sz w:val="18"/>
          <w:u w:val="none"/>
          <w:vertAlign w:val="baseline"/>
        </w:rPr>
        <w:t>2022 WL 519220</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ROGERS MORGAN; PATRICE L. JOHNSON, On behalf of themselves individually and on behalf of a Class and Subclass of similarly situated persons, Plaintiffs - Appellants, v. CALIBER HOME LOANS, INC., Defendant - Appellee.</w:t>
      </w:r>
    </w:p>
    <w:p>
      <w:pPr>
        <w:keepNext w:val="0"/>
        <w:widowControl w:val="0"/>
        <w:spacing w:before="240" w:after="0" w:line="260" w:lineRule="atLeast"/>
        <w:ind w:left="0" w:right="0" w:firstLine="0"/>
        <w:jc w:val="both"/>
      </w:pPr>
      <w:bookmarkStart w:id="2" w:name="Prior History"/>
      <w:bookmarkEnd w:id="2"/>
      <w:r>
        <w:rPr>
          <w:rFonts w:ascii="times" w:eastAsia="times" w:hAnsi="times" w:cs="times"/>
          <w:b/>
          <w:i w:val="0"/>
          <w:strike w:val="0"/>
          <w:noProof w:val="0"/>
          <w:color w:val="000000"/>
          <w:position w:val="0"/>
          <w:sz w:val="20"/>
          <w:u w:val="none"/>
          <w:vertAlign w:val="baseline"/>
        </w:rPr>
        <w:t>Prior History:</w:t>
      </w:r>
      <w:r>
        <w:rPr>
          <w:rFonts w:ascii="times" w:eastAsia="times" w:hAnsi="times" w:cs="times"/>
          <w:b w:val="0"/>
          <w:i w:val="0"/>
          <w:strike w:val="0"/>
          <w:noProof w:val="0"/>
          <w:color w:val="000000"/>
          <w:position w:val="0"/>
          <w:sz w:val="20"/>
          <w:u w:val="none"/>
          <w:vertAlign w:val="baseline"/>
        </w:rPr>
        <w:t> </w:t>
      </w:r>
      <w:bookmarkStart w:id="3" w:name="Bookmark_para_1"/>
      <w:bookmarkEnd w:id="3"/>
      <w:r>
        <w:rPr>
          <w:rFonts w:ascii="times" w:eastAsia="times" w:hAnsi="times" w:cs="times"/>
          <w:b/>
          <w:i w:val="0"/>
          <w:strike w:val="0"/>
          <w:noProof w:val="0"/>
          <w:color w:val="000000"/>
          <w:position w:val="0"/>
          <w:sz w:val="20"/>
          <w:u w:val="none"/>
          <w:vertAlign w:val="baseline"/>
        </w:rPr>
        <w:t> [*1] </w:t>
      </w:r>
      <w:r>
        <w:rPr>
          <w:rFonts w:ascii="times" w:eastAsia="times" w:hAnsi="times" w:cs="times"/>
          <w:b w:val="0"/>
          <w:i w:val="0"/>
          <w:strike w:val="0"/>
          <w:noProof w:val="0"/>
          <w:color w:val="000000"/>
          <w:position w:val="0"/>
          <w:sz w:val="20"/>
          <w:u w:val="none"/>
          <w:vertAlign w:val="baseline"/>
        </w:rPr>
        <w:t>Appeal from the United States District Court for the District of Maryland, at Greenbelt. (8:19-cv-02797-PX). Paula Xinis, District Judge.</w:t>
      </w:r>
    </w:p>
    <w:p>
      <w:pPr>
        <w:keepNext w:val="0"/>
        <w:widowControl w:val="0"/>
        <w:spacing w:before="240" w:after="0" w:line="260" w:lineRule="atLeast"/>
        <w:ind w:left="0" w:right="0" w:firstLine="0"/>
        <w:jc w:val="left"/>
      </w:pPr>
      <w:r>
        <w:br/>
      </w:r>
      <w:hyperlink r:id="rId10" w:history="1">
        <w:r>
          <w:rPr>
            <w:rFonts w:ascii="times" w:eastAsia="times" w:hAnsi="times" w:cs="times"/>
            <w:b w:val="0"/>
            <w:i w:val="0"/>
            <w:strike w:val="0"/>
            <w:color w:val="0077CC"/>
            <w:sz w:val="20"/>
            <w:u w:val="single"/>
            <w:shd w:val="clear" w:color="auto" w:fill="FFFFFF"/>
            <w:vertAlign w:val="baseline"/>
          </w:rPr>
          <w:t>Morgan v. Caliber Home Loans, Inc., 2020 U.S. Dist. LEXIS 101648, 2020 WL 3073319 (D. Md., June 10, 2020)</w:t>
        </w:r>
      </w:hyperlink>
    </w:p>
    <w:p>
      <w:pPr>
        <w:keepNext w:val="0"/>
        <w:widowControl w:val="0"/>
        <w:spacing w:before="240" w:after="0" w:line="260" w:lineRule="atLeast"/>
        <w:ind w:left="0" w:right="0" w:firstLine="0"/>
        <w:jc w:val="both"/>
      </w:pPr>
      <w:bookmarkStart w:id="4" w:name="Disposition"/>
      <w:bookmarkEnd w:id="4"/>
      <w:r>
        <w:rPr>
          <w:rFonts w:ascii="times" w:eastAsia="times" w:hAnsi="times" w:cs="times"/>
          <w:b/>
          <w:i w:val="0"/>
          <w:strike w:val="0"/>
          <w:noProof w:val="0"/>
          <w:color w:val="000000"/>
          <w:position w:val="0"/>
          <w:sz w:val="20"/>
          <w:u w:val="none"/>
          <w:vertAlign w:val="baseline"/>
        </w:rPr>
        <w:t>Disposition:</w:t>
      </w:r>
      <w:r>
        <w:rPr>
          <w:rFonts w:ascii="times" w:eastAsia="times" w:hAnsi="times" w:cs="times"/>
          <w:b w:val="0"/>
          <w:i w:val="0"/>
          <w:strike w:val="0"/>
          <w:noProof w:val="0"/>
          <w:color w:val="000000"/>
          <w:position w:val="0"/>
          <w:sz w:val="20"/>
          <w:u w:val="none"/>
          <w:vertAlign w:val="baseline"/>
        </w:rPr>
        <w:t> </w:t>
      </w:r>
      <w:bookmarkStart w:id="5" w:name="Bookmark_clspara_4"/>
      <w:bookmarkEnd w:id="5"/>
      <w:r>
        <w:rPr>
          <w:rFonts w:ascii="times" w:eastAsia="times" w:hAnsi="times" w:cs="times"/>
          <w:b w:val="0"/>
          <w:i w:val="0"/>
          <w:strike w:val="0"/>
          <w:noProof w:val="0"/>
          <w:color w:val="000000"/>
          <w:position w:val="0"/>
          <w:sz w:val="20"/>
          <w:u w:val="none"/>
          <w:vertAlign w:val="baseline"/>
        </w:rPr>
        <w:t>AFFIRMED IN PART, REVERSED IN PART, AND REMANDED.</w:t>
      </w:r>
    </w:p>
    <w:p>
      <w:pPr>
        <w:keepNext w:val="0"/>
        <w:widowControl w:val="0"/>
        <w:spacing w:before="240" w:after="0" w:line="260" w:lineRule="atLeast"/>
        <w:ind w:left="0" w:right="0" w:firstLine="0"/>
        <w:jc w:val="left"/>
      </w:pPr>
      <w:bookmarkStart w:id="6" w:name="Counsel"/>
      <w:bookmarkEnd w:id="6"/>
      <w:r>
        <w:rPr>
          <w:rFonts w:ascii="times" w:eastAsia="times" w:hAnsi="times" w:cs="times"/>
          <w:b/>
          <w:i w:val="0"/>
          <w:strike w:val="0"/>
          <w:noProof w:val="0"/>
          <w:color w:val="000000"/>
          <w:position w:val="0"/>
          <w:sz w:val="20"/>
          <w:u w:val="none"/>
          <w:vertAlign w:val="baseline"/>
        </w:rPr>
        <w:t>Counsel:</w:t>
      </w:r>
      <w:r>
        <w:rPr>
          <w:rFonts w:ascii="times" w:eastAsia="times" w:hAnsi="times" w:cs="times"/>
          <w:b w:val="0"/>
          <w:i w:val="0"/>
          <w:strike w:val="0"/>
          <w:noProof w:val="0"/>
          <w:color w:val="000000"/>
          <w:position w:val="0"/>
          <w:sz w:val="20"/>
          <w:u w:val="none"/>
          <w:vertAlign w:val="baseline"/>
        </w:rPr>
        <w:t> ARGUED: Phillip R. Robinson, CONSUMER LAW CENTER LLC, Silver Spring, Maryland, for Appellants.</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Matthew Allen Fitzgerald, MCGUIREWOODS LLP, Richmond, Virginia, for Appellee.</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ON BRIEF: Melissa O. Martinez, Baltimore, Maryland, Brian E. Pumphrey, Michael W. Stark, MCGUIREWOODS LLP, Richmond, Virginia, for Appellee.</w:t>
      </w:r>
    </w:p>
    <w:p>
      <w:pPr>
        <w:keepNext w:val="0"/>
        <w:widowControl w:val="0"/>
        <w:spacing w:before="240" w:after="0" w:line="260" w:lineRule="atLeast"/>
        <w:ind w:left="0" w:right="0" w:firstLine="0"/>
        <w:jc w:val="left"/>
      </w:pPr>
      <w:bookmarkStart w:id="7" w:name="Judges"/>
      <w:bookmarkEnd w:id="7"/>
      <w:r>
        <w:rPr>
          <w:rFonts w:ascii="times" w:eastAsia="times" w:hAnsi="times" w:cs="times"/>
          <w:b/>
          <w:i w:val="0"/>
          <w:strike w:val="0"/>
          <w:noProof w:val="0"/>
          <w:color w:val="000000"/>
          <w:position w:val="0"/>
          <w:sz w:val="20"/>
          <w:u w:val="none"/>
          <w:vertAlign w:val="baseline"/>
        </w:rPr>
        <w:t>Judges:</w:t>
      </w:r>
      <w:r>
        <w:rPr>
          <w:rFonts w:ascii="times" w:eastAsia="times" w:hAnsi="times" w:cs="times"/>
          <w:b w:val="0"/>
          <w:i w:val="0"/>
          <w:strike w:val="0"/>
          <w:noProof w:val="0"/>
          <w:color w:val="000000"/>
          <w:position w:val="0"/>
          <w:sz w:val="20"/>
          <w:u w:val="none"/>
          <w:vertAlign w:val="baseline"/>
        </w:rPr>
        <w:t> Before KING, THACKER, and RICHARDSON, Circuit Judges. Judge Thacker wrote the majority opinion, in which Judge King joined. Judge Richardson wrote a separate opinion, concurring in part and dissenting in part.</w:t>
      </w:r>
    </w:p>
    <w:p>
      <w:pPr>
        <w:keepNext w:val="0"/>
        <w:widowControl w:val="0"/>
        <w:spacing w:before="240" w:after="0" w:line="260" w:lineRule="atLeast"/>
        <w:ind w:left="0" w:right="0" w:firstLine="0"/>
        <w:jc w:val="left"/>
      </w:pPr>
      <w:bookmarkStart w:id="8" w:name="Opinion by"/>
      <w:bookmarkEnd w:id="8"/>
      <w:r>
        <w:rPr>
          <w:rFonts w:ascii="times" w:eastAsia="times" w:hAnsi="times" w:cs="times"/>
          <w:b/>
          <w:i w:val="0"/>
          <w:strike w:val="0"/>
          <w:noProof w:val="0"/>
          <w:color w:val="000000"/>
          <w:position w:val="0"/>
          <w:sz w:val="20"/>
          <w:u w:val="none"/>
          <w:vertAlign w:val="baseline"/>
        </w:rPr>
        <w:t>Opinion by:</w:t>
      </w:r>
      <w:r>
        <w:rPr>
          <w:rFonts w:ascii="times" w:eastAsia="times" w:hAnsi="times" w:cs="times"/>
          <w:b w:val="0"/>
          <w:i w:val="0"/>
          <w:strike w:val="0"/>
          <w:noProof w:val="0"/>
          <w:color w:val="000000"/>
          <w:position w:val="0"/>
          <w:sz w:val="20"/>
          <w:u w:val="none"/>
          <w:vertAlign w:val="baseline"/>
        </w:rPr>
        <w:t> THACKER</w:t>
      </w:r>
    </w:p>
    <w:p>
      <w:pPr>
        <w:keepNext/>
        <w:widowControl w:val="0"/>
        <w:spacing w:before="240" w:after="0" w:line="340" w:lineRule="atLeast"/>
        <w:ind w:left="0" w:right="0" w:firstLine="0"/>
        <w:jc w:val="left"/>
      </w:pPr>
      <w:bookmarkStart w:id="9" w:name="Opinion"/>
      <w:bookmarkEnd w:id="9"/>
      <w:r>
        <w:rPr>
          <w:rFonts w:ascii="times" w:eastAsia="times" w:hAnsi="times" w:cs="times"/>
          <w:b/>
          <w:i w:val="0"/>
          <w:strike w:val="0"/>
          <w:noProof w:val="0"/>
          <w:color w:val="000000"/>
          <w:position w:val="0"/>
          <w:sz w:val="28"/>
          <w:u w:val="none"/>
          <w:vertAlign w:val="baseline"/>
        </w:rPr>
        <w:t>Opinion</w:t>
      </w:r>
    </w:p>
    <w:p>
      <w:pPr>
        <w:spacing w:line="60" w:lineRule="exact"/>
      </w:pPr>
      <w:r>
        <w:pict>
          <v:line id="_x0000_s1026" style="position:absolute;z-index:251658240" from="0,2pt" to="251pt,2pt" strokecolor="#009ddb" strokeweight="2pt">
            <v:stroke linestyle="single"/>
            <w10:wrap type="topAndBottom"/>
          </v:line>
        </w:pict>
      </w:r>
    </w:p>
    <w:p/>
    <w:p>
      <w:pPr>
        <w:keepNext w:val="0"/>
        <w:widowControl w:val="0"/>
        <w:spacing w:before="200" w:after="0" w:line="260" w:lineRule="atLeast"/>
        <w:ind w:left="0" w:right="0" w:firstLine="0"/>
        <w:jc w:val="both"/>
      </w:pPr>
      <w:bookmarkStart w:id="10" w:name="Bookmark_para_2"/>
      <w:bookmarkEnd w:id="10"/>
      <w:r>
        <w:rPr>
          <w:rFonts w:ascii="times" w:eastAsia="times" w:hAnsi="times" w:cs="times"/>
          <w:b w:val="0"/>
          <w:i w:val="0"/>
          <w:strike w:val="0"/>
          <w:noProof w:val="0"/>
          <w:color w:val="000000"/>
          <w:position w:val="0"/>
          <w:sz w:val="20"/>
          <w:u w:val="none"/>
          <w:vertAlign w:val="baseline"/>
        </w:rPr>
        <w:t>THACKER, Circuit Judge:</w:t>
      </w:r>
    </w:p>
    <w:p>
      <w:pPr>
        <w:keepNext w:val="0"/>
        <w:widowControl w:val="0"/>
        <w:spacing w:before="200" w:after="0" w:line="260" w:lineRule="atLeast"/>
        <w:ind w:left="0" w:right="0" w:firstLine="0"/>
        <w:jc w:val="both"/>
      </w:pPr>
      <w:bookmarkStart w:id="11" w:name="Bookmark_para_3"/>
      <w:bookmarkEnd w:id="11"/>
      <w:r>
        <w:rPr>
          <w:rFonts w:ascii="times" w:eastAsia="times" w:hAnsi="times" w:cs="times"/>
          <w:b w:val="0"/>
          <w:i w:val="0"/>
          <w:strike w:val="0"/>
          <w:noProof w:val="0"/>
          <w:color w:val="000000"/>
          <w:position w:val="0"/>
          <w:sz w:val="20"/>
          <w:u w:val="none"/>
          <w:vertAlign w:val="baseline"/>
        </w:rPr>
        <w:t xml:space="preserve">In this case, we address whether letters sent by borrowers Rogers Morgan ("Morgan") and Patrice Johnson ("Johnson") (collectively, "Appellants") to their loan servicer, Caliber Home Loans ("Appellee"), constitute qualified written requests ("QWRs") under the </w:t>
      </w:r>
      <w:hyperlink r:id="rId11" w:history="1">
        <w:r>
          <w:rPr>
            <w:rFonts w:ascii="times" w:eastAsia="times" w:hAnsi="times" w:cs="times"/>
            <w:b w:val="0"/>
            <w:i w:val="0"/>
            <w:strike w:val="0"/>
            <w:noProof w:val="0"/>
            <w:color w:val="0077CC"/>
            <w:position w:val="0"/>
            <w:sz w:val="20"/>
            <w:u w:val="single"/>
            <w:shd w:val="clear" w:color="auto" w:fill="FFFFFF"/>
            <w:vertAlign w:val="baseline"/>
          </w:rPr>
          <w:t xml:space="preserve">Real Estate Settlement Procedures Act ("RESPA"), 12 U.S.C. § 2601, </w:t>
        </w:r>
      </w:hyperlink>
      <w:hyperlink r:id="rId11" w:history="1">
        <w:r>
          <w:rPr>
            <w:rFonts w:ascii="times" w:eastAsia="times" w:hAnsi="times" w:cs="times"/>
            <w:b w:val="0"/>
            <w:i/>
            <w:strike w:val="0"/>
            <w:noProof w:val="0"/>
            <w:color w:val="0077CC"/>
            <w:position w:val="0"/>
            <w:sz w:val="20"/>
            <w:u w:val="single"/>
            <w:shd w:val="clear" w:color="auto" w:fill="FFFFFF"/>
            <w:vertAlign w:val="baseline"/>
          </w:rPr>
          <w:t>et seq.</w:t>
        </w:r>
      </w:hyperlink>
      <w:r>
        <w:rPr>
          <w:rFonts w:ascii="times" w:eastAsia="times" w:hAnsi="times" w:cs="times"/>
          <w:b w:val="0"/>
          <w:i w:val="0"/>
          <w:strike w:val="0"/>
          <w:noProof w:val="0"/>
          <w:color w:val="000000"/>
          <w:position w:val="0"/>
          <w:sz w:val="20"/>
          <w:u w:val="none"/>
          <w:vertAlign w:val="baseline"/>
        </w:rPr>
        <w:t>, or the related Consumer Financial Protection Bureau ("CFPB") Regulation X, 12 C.F.R. pt. 1024, such that they triggered an obligation for Appellee to cease providing adverse information about Appellants' accounts to credit</w:t>
      </w:r>
      <w:r>
        <w:rPr>
          <w:rFonts w:ascii="times" w:eastAsia="times" w:hAnsi="times" w:cs="times"/>
          <w:b/>
          <w:i w:val="0"/>
          <w:strike w:val="0"/>
          <w:noProof w:val="0"/>
          <w:color w:val="000000"/>
          <w:position w:val="0"/>
          <w:sz w:val="20"/>
          <w:u w:val="none"/>
          <w:vertAlign w:val="baseline"/>
        </w:rPr>
        <w:t> [*2] </w:t>
      </w:r>
      <w:r>
        <w:rPr>
          <w:rFonts w:ascii="times" w:eastAsia="times" w:hAnsi="times" w:cs="times"/>
          <w:b w:val="0"/>
          <w:i w:val="0"/>
          <w:strike w:val="0"/>
          <w:noProof w:val="0"/>
          <w:color w:val="000000"/>
          <w:position w:val="0"/>
          <w:sz w:val="20"/>
          <w:u w:val="none"/>
          <w:vertAlign w:val="baseline"/>
        </w:rPr>
        <w:t xml:space="preserve"> reporting agencies.</w:t>
      </w:r>
    </w:p>
    <w:p>
      <w:pPr>
        <w:keepNext w:val="0"/>
        <w:widowControl w:val="0"/>
        <w:spacing w:before="200" w:after="0" w:line="260" w:lineRule="atLeast"/>
        <w:ind w:left="0" w:right="0" w:firstLine="0"/>
        <w:jc w:val="both"/>
      </w:pPr>
      <w:bookmarkStart w:id="12" w:name="Bookmark_para_4"/>
      <w:bookmarkEnd w:id="12"/>
      <w:bookmarkStart w:id="13" w:name="Bookmark_LNHNREFclscc1"/>
      <w:bookmarkEnd w:id="13"/>
      <w:r>
        <w:rPr>
          <w:rFonts w:ascii="times" w:eastAsia="times" w:hAnsi="times" w:cs="times"/>
          <w:b w:val="0"/>
          <w:i w:val="0"/>
          <w:strike w:val="0"/>
          <w:noProof w:val="0"/>
          <w:color w:val="000000"/>
          <w:position w:val="0"/>
          <w:sz w:val="20"/>
          <w:u w:val="none"/>
          <w:vertAlign w:val="baseline"/>
        </w:rPr>
        <w:t>We conclude that where a written correspondence to a loan servicer provides sufficient information to identify the account and an alleged servicing error, such correspondence is a QWR for the purpose of RESPA and Regulation X. Conversely, where such written correspondence merely challenges a contractual issue, it does not implicate a servicing issue and therefore is not a QWR pursuant to RESPA or Regulation X.</w:t>
      </w:r>
    </w:p>
    <w:p>
      <w:pPr>
        <w:keepNext w:val="0"/>
        <w:widowControl w:val="0"/>
        <w:spacing w:before="200" w:after="0" w:line="260" w:lineRule="atLeast"/>
        <w:ind w:left="0" w:right="0" w:firstLine="0"/>
        <w:jc w:val="both"/>
      </w:pPr>
      <w:bookmarkStart w:id="14" w:name="Bookmark_para_5"/>
      <w:bookmarkEnd w:id="14"/>
      <w:r>
        <w:rPr>
          <w:rFonts w:ascii="times" w:eastAsia="times" w:hAnsi="times" w:cs="times"/>
          <w:b w:val="0"/>
          <w:i w:val="0"/>
          <w:strike w:val="0"/>
          <w:noProof w:val="0"/>
          <w:color w:val="000000"/>
          <w:position w:val="0"/>
          <w:sz w:val="20"/>
          <w:u w:val="none"/>
          <w:vertAlign w:val="baseline"/>
        </w:rPr>
        <w:t>Because Morgan's correspondence to Appellee provided sufficient detail to identify his account and the reasons he believed account was in error, we conclude the correspondence meets the threshold for a QWR pursuant to RESPA and Regulation X. Accordingly, we reverse the district court's grant of Appellee's motion to dismiss Morgan's claim. However, because Johnson's correspondence did not allege a dispute related to the servicing of her account, it is not a QWR protected by RESPA or Regulation X. Thus, we affirm the district court's grant of Appellee's motion to dismiss Johnson's claim.</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I.</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A.</w:t>
      </w:r>
    </w:p>
    <w:p>
      <w:pPr>
        <w:keepNext w:val="0"/>
        <w:widowControl w:val="0"/>
        <w:spacing w:before="240" w:after="0" w:line="260" w:lineRule="atLeast"/>
        <w:ind w:left="0" w:right="0" w:firstLine="0"/>
        <w:jc w:val="left"/>
      </w:pPr>
      <w:r>
        <w:br/>
      </w:r>
      <w:r>
        <w:rPr>
          <w:rFonts w:ascii="times" w:eastAsia="times" w:hAnsi="times" w:cs="times"/>
          <w:b w:val="0"/>
          <w:i w:val="0"/>
          <w:strike w:val="0"/>
          <w:noProof w:val="0"/>
          <w:color w:val="000000"/>
          <w:position w:val="0"/>
          <w:sz w:val="20"/>
          <w:u w:val="single"/>
          <w:vertAlign w:val="baseline"/>
        </w:rPr>
        <w:t>Morgan Letter</w:t>
      </w:r>
    </w:p>
    <w:p>
      <w:pPr>
        <w:keepNext w:val="0"/>
        <w:widowControl w:val="0"/>
        <w:spacing w:before="200" w:after="0" w:line="260" w:lineRule="atLeast"/>
        <w:ind w:left="0" w:right="0" w:firstLine="0"/>
        <w:jc w:val="both"/>
      </w:pPr>
      <w:bookmarkStart w:id="15" w:name="Bookmark_para_6"/>
      <w:bookmarkEnd w:id="15"/>
      <w:r>
        <w:rPr>
          <w:rFonts w:ascii="times" w:eastAsia="times" w:hAnsi="times" w:cs="times"/>
          <w:b w:val="0"/>
          <w:i w:val="0"/>
          <w:strike w:val="0"/>
          <w:noProof w:val="0"/>
          <w:color w:val="000000"/>
          <w:position w:val="0"/>
          <w:sz w:val="20"/>
          <w:u w:val="none"/>
          <w:vertAlign w:val="baseline"/>
        </w:rPr>
        <w:t>In 1994, Morgan acquired a mortgage in order to purchase a home. Four years later, Morgan refinanced this property with a loan from NationsBank, NA. In 2015, Appellee purchased that loan and became</w:t>
      </w:r>
      <w:r>
        <w:rPr>
          <w:rFonts w:ascii="times" w:eastAsia="times" w:hAnsi="times" w:cs="times"/>
          <w:b/>
          <w:i w:val="0"/>
          <w:strike w:val="0"/>
          <w:noProof w:val="0"/>
          <w:color w:val="000000"/>
          <w:position w:val="0"/>
          <w:sz w:val="20"/>
          <w:u w:val="none"/>
          <w:vertAlign w:val="baseline"/>
        </w:rPr>
        <w:t> [*3] </w:t>
      </w:r>
      <w:r>
        <w:rPr>
          <w:rFonts w:ascii="times" w:eastAsia="times" w:hAnsi="times" w:cs="times"/>
          <w:b w:val="0"/>
          <w:i w:val="0"/>
          <w:strike w:val="0"/>
          <w:noProof w:val="0"/>
          <w:color w:val="000000"/>
          <w:position w:val="0"/>
          <w:sz w:val="20"/>
          <w:u w:val="none"/>
          <w:vertAlign w:val="baseline"/>
        </w:rPr>
        <w:t xml:space="preserve"> Morgan's new loan servicer.</w:t>
      </w:r>
    </w:p>
    <w:p>
      <w:pPr>
        <w:keepNext w:val="0"/>
        <w:widowControl w:val="0"/>
        <w:spacing w:before="200" w:after="0" w:line="260" w:lineRule="atLeast"/>
        <w:ind w:left="0" w:right="0" w:firstLine="0"/>
        <w:jc w:val="both"/>
      </w:pPr>
      <w:bookmarkStart w:id="16" w:name="Bookmark_para_7"/>
      <w:bookmarkEnd w:id="16"/>
      <w:r>
        <w:rPr>
          <w:rFonts w:ascii="times" w:eastAsia="times" w:hAnsi="times" w:cs="times"/>
          <w:b w:val="0"/>
          <w:i w:val="0"/>
          <w:strike w:val="0"/>
          <w:noProof w:val="0"/>
          <w:color w:val="000000"/>
          <w:position w:val="0"/>
          <w:sz w:val="20"/>
          <w:u w:val="none"/>
          <w:vertAlign w:val="baseline"/>
        </w:rPr>
        <w:t>Morgan was employed by the District of Columbia. Per the terms of Morgan's employment agreement, the District of Columbia periodically reviewed his credit reports. Between 2015 and 2016, the District of Columbia expressed concerns about Morgan's credit reports, which reflected purported overdue home loan payments.</w:t>
      </w:r>
    </w:p>
    <w:p>
      <w:pPr>
        <w:keepNext w:val="0"/>
        <w:widowControl w:val="0"/>
        <w:spacing w:before="200" w:after="0" w:line="260" w:lineRule="atLeast"/>
        <w:ind w:left="0" w:right="0" w:firstLine="0"/>
        <w:jc w:val="both"/>
      </w:pPr>
      <w:bookmarkStart w:id="17" w:name="Bookmark_para_8"/>
      <w:bookmarkEnd w:id="17"/>
      <w:r>
        <w:rPr>
          <w:rFonts w:ascii="times" w:eastAsia="times" w:hAnsi="times" w:cs="times"/>
          <w:b w:val="0"/>
          <w:i w:val="0"/>
          <w:strike w:val="0"/>
          <w:noProof w:val="0"/>
          <w:color w:val="000000"/>
          <w:position w:val="0"/>
          <w:sz w:val="20"/>
          <w:u w:val="none"/>
          <w:vertAlign w:val="baseline"/>
        </w:rPr>
        <w:t>But, Morgan did not believe he was behind on his mortgage. Therefore, on September 25, 2016, Morgan corresponded with Appellee ("Morgan Letter"):</w:t>
      </w:r>
    </w:p>
    <w:p>
      <w:pPr>
        <w:keepNext w:val="0"/>
        <w:widowControl w:val="0"/>
        <w:spacing w:after="0" w:line="260" w:lineRule="atLeast"/>
        <w:ind w:left="400" w:right="0" w:firstLine="0"/>
        <w:jc w:val="both"/>
      </w:pPr>
      <w:bookmarkStart w:id="18" w:name="Bookmark_para_9"/>
      <w:bookmarkEnd w:id="18"/>
      <w:r>
        <w:rPr>
          <w:rFonts w:ascii="times" w:eastAsia="times" w:hAnsi="times" w:cs="times"/>
          <w:b w:val="0"/>
          <w:i w:val="0"/>
          <w:strike w:val="0"/>
          <w:noProof w:val="0"/>
          <w:color w:val="000000"/>
          <w:position w:val="0"/>
          <w:sz w:val="20"/>
          <w:u w:val="none"/>
          <w:vertAlign w:val="baseline"/>
        </w:rPr>
        <w:t>Please find a report from D.C. Gov[ernment] stating as of 10/13/15 I owe Caliber $16,806[.] [A]lso on 9/20/16 I called Caliber and talked to Thomas ID#27662[.] [H]e stated I owe $30,656.89 and the $630.00 on my record is late charges. Can you please correct your records[?] Your office reporting the wrong amount to the credit agency is effecting [sic] my employment. Please correct your records.</w:t>
      </w:r>
    </w:p>
    <w:p>
      <w:pPr>
        <w:keepNext w:val="0"/>
        <w:widowControl w:val="0"/>
        <w:spacing w:after="0" w:line="260" w:lineRule="atLeast"/>
        <w:ind w:left="0" w:right="0" w:firstLine="0"/>
        <w:jc w:val="both"/>
      </w:pPr>
      <w:r>
        <w:rPr>
          <w:rFonts w:ascii="times" w:eastAsia="times" w:hAnsi="times" w:cs="times"/>
          <w:b w:val="0"/>
          <w:i w:val="0"/>
          <w:strike w:val="0"/>
          <w:noProof w:val="0"/>
          <w:color w:val="000000"/>
          <w:position w:val="0"/>
          <w:sz w:val="20"/>
          <w:u w:val="none"/>
          <w:vertAlign w:val="baseline"/>
        </w:rPr>
        <w:t>J.A. 82.</w:t>
      </w:r>
      <w:r>
        <w:rPr>
          <w:rFonts w:ascii="times" w:eastAsia="times" w:hAnsi="times" w:cs="times"/>
          <w:vertAlign w:val="superscript"/>
        </w:rPr>
        <w:footnoteReference w:customMarkFollows="1" w:id="2"/>
        <w:t xml:space="preserve">*</w:t>
      </w:r>
      <w:r>
        <w:rPr>
          <w:rFonts w:ascii="times" w:eastAsia="times" w:hAnsi="times" w:cs="times"/>
          <w:b w:val="0"/>
          <w:i w:val="0"/>
          <w:strike w:val="0"/>
          <w:noProof w:val="0"/>
          <w:color w:val="000000"/>
          <w:position w:val="0"/>
          <w:sz w:val="20"/>
          <w:u w:val="none"/>
          <w:vertAlign w:val="baseline"/>
        </w:rPr>
        <w:t xml:space="preserve"> Enclosed with this letter, Morgan included a copy of a credit report, which had been provided to his employer. This report indicated that Morgan's account was 120 days past due and had a past due balance of $16,806.</w:t>
      </w:r>
    </w:p>
    <w:p>
      <w:pPr>
        <w:keepNext w:val="0"/>
        <w:widowControl w:val="0"/>
        <w:spacing w:before="200" w:after="0" w:line="260" w:lineRule="atLeast"/>
        <w:ind w:left="0" w:right="0" w:firstLine="0"/>
        <w:jc w:val="both"/>
      </w:pPr>
      <w:bookmarkStart w:id="20" w:name="Bookmark_para_10"/>
      <w:bookmarkEnd w:id="20"/>
      <w:r>
        <w:rPr>
          <w:rFonts w:ascii="times" w:eastAsia="times" w:hAnsi="times" w:cs="times"/>
          <w:b w:val="0"/>
          <w:i w:val="0"/>
          <w:strike w:val="0"/>
          <w:noProof w:val="0"/>
          <w:color w:val="000000"/>
          <w:position w:val="0"/>
          <w:sz w:val="20"/>
          <w:u w:val="none"/>
          <w:vertAlign w:val="baseline"/>
        </w:rPr>
        <w:t>Morgan alleges Appellee continued to report adverse loan information to credit agencies even</w:t>
      </w:r>
      <w:r>
        <w:rPr>
          <w:rFonts w:ascii="times" w:eastAsia="times" w:hAnsi="times" w:cs="times"/>
          <w:b/>
          <w:i w:val="0"/>
          <w:strike w:val="0"/>
          <w:noProof w:val="0"/>
          <w:color w:val="000000"/>
          <w:position w:val="0"/>
          <w:sz w:val="20"/>
          <w:u w:val="none"/>
          <w:vertAlign w:val="baseline"/>
        </w:rPr>
        <w:t> [*4] </w:t>
      </w:r>
      <w:r>
        <w:rPr>
          <w:rFonts w:ascii="times" w:eastAsia="times" w:hAnsi="times" w:cs="times"/>
          <w:b w:val="0"/>
          <w:i w:val="0"/>
          <w:strike w:val="0"/>
          <w:noProof w:val="0"/>
          <w:color w:val="000000"/>
          <w:position w:val="0"/>
          <w:sz w:val="20"/>
          <w:u w:val="none"/>
          <w:vertAlign w:val="baseline"/>
        </w:rPr>
        <w:t xml:space="preserve"> after receiving the Morgan Letter, which called this information into question.</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B.</w:t>
      </w:r>
    </w:p>
    <w:p>
      <w:pPr>
        <w:keepNext w:val="0"/>
        <w:widowControl w:val="0"/>
        <w:spacing w:before="240" w:after="0" w:line="260" w:lineRule="atLeast"/>
        <w:ind w:left="0" w:right="0" w:firstLine="0"/>
        <w:jc w:val="left"/>
      </w:pPr>
      <w:r>
        <w:br/>
      </w:r>
      <w:r>
        <w:rPr>
          <w:rFonts w:ascii="times" w:eastAsia="times" w:hAnsi="times" w:cs="times"/>
          <w:b w:val="0"/>
          <w:i w:val="0"/>
          <w:strike w:val="0"/>
          <w:noProof w:val="0"/>
          <w:color w:val="000000"/>
          <w:position w:val="0"/>
          <w:sz w:val="20"/>
          <w:u w:val="single"/>
          <w:vertAlign w:val="baseline"/>
        </w:rPr>
        <w:t>Johnson Letter</w:t>
      </w:r>
    </w:p>
    <w:p>
      <w:pPr>
        <w:keepNext w:val="0"/>
        <w:widowControl w:val="0"/>
        <w:spacing w:before="200" w:after="0" w:line="260" w:lineRule="atLeast"/>
        <w:ind w:left="0" w:right="0" w:firstLine="0"/>
        <w:jc w:val="both"/>
      </w:pPr>
      <w:bookmarkStart w:id="21" w:name="Bookmark_para_11"/>
      <w:bookmarkEnd w:id="21"/>
      <w:r>
        <w:rPr>
          <w:rFonts w:ascii="times" w:eastAsia="times" w:hAnsi="times" w:cs="times"/>
          <w:b w:val="0"/>
          <w:i w:val="0"/>
          <w:strike w:val="0"/>
          <w:noProof w:val="0"/>
          <w:color w:val="000000"/>
          <w:position w:val="0"/>
          <w:sz w:val="20"/>
          <w:u w:val="none"/>
          <w:vertAlign w:val="baseline"/>
        </w:rPr>
        <w:t>On August 2, 2016, Johnson obtained a residential mortgage directly from Appellee. When Johnson fell behind on her mortgage payments, Appellee began reporting this adverse information to credit reporting agencies. In September 2018, Johnson applied for a loan modification for lower payments. In response, Appellee initially placed Johnson on a trial payment plan, a preliminary step toward approval of a loan modification. The purpose of the trial payment plan was to provide Johnson the opportunity to demonstrate she could make three timely, reduced payments. Although Johnson made the payments required by the trial payment plan, in November 2018, Appellee nonetheless declined to finalize the loan modification, citing the existence of a priority lien by a solar panel company.</w:t>
      </w:r>
    </w:p>
    <w:p>
      <w:pPr>
        <w:keepNext w:val="0"/>
        <w:widowControl w:val="0"/>
        <w:spacing w:before="200" w:after="0" w:line="260" w:lineRule="atLeast"/>
        <w:ind w:left="0" w:right="0" w:firstLine="0"/>
        <w:jc w:val="both"/>
      </w:pPr>
      <w:bookmarkStart w:id="22" w:name="Bookmark_para_12"/>
      <w:bookmarkEnd w:id="22"/>
      <w:r>
        <w:rPr>
          <w:rFonts w:ascii="times" w:eastAsia="times" w:hAnsi="times" w:cs="times"/>
          <w:b w:val="0"/>
          <w:i w:val="0"/>
          <w:strike w:val="0"/>
          <w:noProof w:val="0"/>
          <w:color w:val="000000"/>
          <w:position w:val="0"/>
          <w:sz w:val="20"/>
          <w:u w:val="none"/>
          <w:vertAlign w:val="baseline"/>
        </w:rPr>
        <w:t>On February 11, 2019, Johnson sent Appellee a letter ("Johnson Letter"), challenging the existence of "title issues" due to the solar panel company lien and asking Appellee to "conduct a reasonable investigation into these matters and correct your errors." J.A. 87. The Johnson Letter further requested "an accounting of all</w:t>
      </w:r>
      <w:r>
        <w:rPr>
          <w:rFonts w:ascii="times" w:eastAsia="times" w:hAnsi="times" w:cs="times"/>
          <w:b/>
          <w:i w:val="0"/>
          <w:strike w:val="0"/>
          <w:noProof w:val="0"/>
          <w:color w:val="000000"/>
          <w:position w:val="0"/>
          <w:sz w:val="20"/>
          <w:u w:val="none"/>
          <w:vertAlign w:val="baseline"/>
        </w:rPr>
        <w:t> [*5] </w:t>
      </w:r>
      <w:r>
        <w:rPr>
          <w:rFonts w:ascii="times" w:eastAsia="times" w:hAnsi="times" w:cs="times"/>
          <w:b w:val="0"/>
          <w:i w:val="0"/>
          <w:strike w:val="0"/>
          <w:noProof w:val="0"/>
          <w:color w:val="000000"/>
          <w:position w:val="0"/>
          <w:sz w:val="20"/>
          <w:u w:val="none"/>
          <w:vertAlign w:val="baseline"/>
        </w:rPr>
        <w:t xml:space="preserve"> sums you have imposed upon and collected related to my loan including convenience fees for accepting payment over the phone and property inspection fees." </w:t>
      </w:r>
      <w:r>
        <w:rPr>
          <w:rFonts w:ascii="times" w:eastAsia="times" w:hAnsi="times" w:cs="times"/>
          <w:b w:val="0"/>
          <w:i/>
          <w:strike w:val="0"/>
          <w:noProof w:val="0"/>
          <w:color w:val="000000"/>
          <w:position w:val="0"/>
          <w:sz w:val="20"/>
          <w:u w:val="none"/>
          <w:vertAlign w:val="baseline"/>
        </w:rPr>
        <w:t>Id.</w:t>
      </w:r>
      <w:r>
        <w:rPr>
          <w:rFonts w:ascii="times" w:eastAsia="times" w:hAnsi="times" w:cs="times"/>
          <w:b w:val="0"/>
          <w:i w:val="0"/>
          <w:strike w:val="0"/>
          <w:noProof w:val="0"/>
          <w:color w:val="000000"/>
          <w:position w:val="0"/>
          <w:sz w:val="20"/>
          <w:u w:val="none"/>
          <w:vertAlign w:val="baseline"/>
        </w:rPr>
        <w:t xml:space="preserve"> at 87-88. In response, Appellee revisited the possibility of a loan modification, and the parties ultimately finalized a loan modification agreement on April 26, 2019. Yet, in the interim, Appellee declined to stop reporting adverse information about Johnson's purported delinquent payments on her home loan to credit reporting agencies.</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C.</w:t>
      </w:r>
    </w:p>
    <w:p>
      <w:pPr>
        <w:keepNext w:val="0"/>
        <w:widowControl w:val="0"/>
        <w:spacing w:before="240" w:after="0" w:line="260" w:lineRule="atLeast"/>
        <w:ind w:left="0" w:right="0" w:firstLine="0"/>
        <w:jc w:val="left"/>
      </w:pPr>
      <w:r>
        <w:br/>
      </w:r>
      <w:r>
        <w:rPr>
          <w:rFonts w:ascii="times" w:eastAsia="times" w:hAnsi="times" w:cs="times"/>
          <w:b w:val="0"/>
          <w:i w:val="0"/>
          <w:strike w:val="0"/>
          <w:noProof w:val="0"/>
          <w:color w:val="000000"/>
          <w:position w:val="0"/>
          <w:sz w:val="20"/>
          <w:u w:val="single"/>
          <w:vertAlign w:val="baseline"/>
        </w:rPr>
        <w:t>Procedural History</w:t>
      </w:r>
    </w:p>
    <w:p>
      <w:pPr>
        <w:keepNext w:val="0"/>
        <w:widowControl w:val="0"/>
        <w:spacing w:before="200" w:after="0" w:line="260" w:lineRule="atLeast"/>
        <w:ind w:left="0" w:right="0" w:firstLine="0"/>
        <w:jc w:val="both"/>
      </w:pPr>
      <w:bookmarkStart w:id="23" w:name="Bookmark_para_13"/>
      <w:bookmarkEnd w:id="23"/>
      <w:r>
        <w:rPr>
          <w:rFonts w:ascii="times" w:eastAsia="times" w:hAnsi="times" w:cs="times"/>
          <w:b w:val="0"/>
          <w:i w:val="0"/>
          <w:strike w:val="0"/>
          <w:noProof w:val="0"/>
          <w:color w:val="000000"/>
          <w:position w:val="0"/>
          <w:sz w:val="20"/>
          <w:u w:val="none"/>
          <w:vertAlign w:val="baseline"/>
        </w:rPr>
        <w:t>In September 2019, Appellants filed claims against Appellee, both individually and on behalf of a putative class of "all residential loan borrowers" who submitted QWRs per RESPA and Regulation X to Appellee in the preceding three years. As detailed below, when a loan servicer receives a QWR, the servicer is required by RESPA and Regulation X to temporarily stop reporting adverse information about the borrower's loan payments to credit reporting agencies. Appellants contend that despite the fact that they sent QWRs to Appellee, Appellee continued to report adverse information on Appellants' loans to credit reporting agencies in contravention of RESPA.</w:t>
      </w:r>
    </w:p>
    <w:p>
      <w:pPr>
        <w:keepNext w:val="0"/>
        <w:widowControl w:val="0"/>
        <w:spacing w:before="200" w:after="0" w:line="260" w:lineRule="atLeast"/>
        <w:ind w:left="0" w:right="0" w:firstLine="0"/>
        <w:jc w:val="both"/>
      </w:pPr>
      <w:bookmarkStart w:id="24" w:name="Bookmark_para_14"/>
      <w:bookmarkEnd w:id="24"/>
      <w:r>
        <w:rPr>
          <w:rFonts w:ascii="times" w:eastAsia="times" w:hAnsi="times" w:cs="times"/>
          <w:b w:val="0"/>
          <w:i w:val="0"/>
          <w:strike w:val="0"/>
          <w:noProof w:val="0"/>
          <w:color w:val="000000"/>
          <w:position w:val="0"/>
          <w:sz w:val="20"/>
          <w:u w:val="none"/>
          <w:vertAlign w:val="baseline"/>
        </w:rPr>
        <w:t>Before the district court,</w:t>
      </w:r>
      <w:r>
        <w:rPr>
          <w:rFonts w:ascii="times" w:eastAsia="times" w:hAnsi="times" w:cs="times"/>
          <w:b/>
          <w:i w:val="0"/>
          <w:strike w:val="0"/>
          <w:noProof w:val="0"/>
          <w:color w:val="000000"/>
          <w:position w:val="0"/>
          <w:sz w:val="20"/>
          <w:u w:val="none"/>
          <w:vertAlign w:val="baseline"/>
        </w:rPr>
        <w:t> [*6] </w:t>
      </w:r>
      <w:r>
        <w:rPr>
          <w:rFonts w:ascii="times" w:eastAsia="times" w:hAnsi="times" w:cs="times"/>
          <w:b w:val="0"/>
          <w:i w:val="0"/>
          <w:strike w:val="0"/>
          <w:noProof w:val="0"/>
          <w:color w:val="000000"/>
          <w:position w:val="0"/>
          <w:sz w:val="20"/>
          <w:u w:val="none"/>
          <w:vertAlign w:val="baseline"/>
        </w:rPr>
        <w:t xml:space="preserve"> Appellee filed a motion to dismiss Appellants' claims. Appellee argued the Morgan Letter is not a QWR because it does not dispute a specific payment, which Appellee contends is required by RESPA. Appellee also argued that the Johnson Letter is not a QWR because it only disputes a potential loan modification, which is not protected by RESPA. On June 10, 2020, the district court granted Appellee's motion to dismiss. Given that the district court dismissed Appellants' individual claims, it also dismissed Appellants' related class action claims. Appellants timely appealed.</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II.</w:t>
      </w:r>
    </w:p>
    <w:p>
      <w:pPr>
        <w:keepNext w:val="0"/>
        <w:widowControl w:val="0"/>
        <w:spacing w:before="240" w:after="0" w:line="260" w:lineRule="atLeast"/>
        <w:ind w:left="0" w:right="0" w:firstLine="0"/>
        <w:jc w:val="both"/>
      </w:pPr>
      <w:bookmarkStart w:id="25" w:name="Bookmark_para_15"/>
      <w:bookmarkEnd w:id="25"/>
      <w:bookmarkStart w:id="26" w:name="Bookmark_I64W34KR2HM5RD0020000400"/>
      <w:bookmarkEnd w:id="26"/>
      <w:bookmarkStart w:id="27" w:name="Bookmark_I64W34KR2HM5RD0040000400"/>
      <w:bookmarkEnd w:id="27"/>
      <w:bookmarkStart w:id="28" w:name="Bookmark_LNHNREFclscc2"/>
      <w:bookmarkEnd w:id="28"/>
      <w:r>
        <w:rPr>
          <w:rFonts w:ascii="times" w:eastAsia="times" w:hAnsi="times" w:cs="times"/>
          <w:b w:val="0"/>
          <w:i w:val="0"/>
          <w:strike w:val="0"/>
          <w:noProof w:val="0"/>
          <w:color w:val="000000"/>
          <w:position w:val="0"/>
          <w:sz w:val="20"/>
          <w:u w:val="none"/>
          <w:vertAlign w:val="baseline"/>
        </w:rPr>
        <w:t xml:space="preserve">We review a district court's grant of a motion to dismiss de novo. </w:t>
      </w:r>
      <w:bookmarkStart w:id="29" w:name="Bookmark_I64W34KR2HM5RD0010000400"/>
      <w:bookmarkEnd w:id="29"/>
      <w:hyperlink r:id="rId12" w:history="1">
        <w:r>
          <w:rPr>
            <w:rFonts w:ascii="times" w:eastAsia="times" w:hAnsi="times" w:cs="times"/>
            <w:b w:val="0"/>
            <w:i/>
            <w:strike w:val="0"/>
            <w:noProof w:val="0"/>
            <w:color w:val="0077CC"/>
            <w:position w:val="0"/>
            <w:sz w:val="20"/>
            <w:u w:val="single"/>
            <w:shd w:val="clear" w:color="auto" w:fill="FFFFFF"/>
            <w:vertAlign w:val="baseline"/>
          </w:rPr>
          <w:t>Fairfax v. CBS Corp.</w:t>
        </w:r>
      </w:hyperlink>
      <w:hyperlink r:id="rId12" w:history="1">
        <w:r>
          <w:rPr>
            <w:rFonts w:ascii="times" w:eastAsia="times" w:hAnsi="times" w:cs="times"/>
            <w:b w:val="0"/>
            <w:i w:val="0"/>
            <w:strike w:val="0"/>
            <w:noProof w:val="0"/>
            <w:color w:val="0077CC"/>
            <w:position w:val="0"/>
            <w:sz w:val="20"/>
            <w:u w:val="single"/>
            <w:shd w:val="clear" w:color="auto" w:fill="FFFFFF"/>
            <w:vertAlign w:val="baseline"/>
          </w:rPr>
          <w:t>, 2 F.4th 286, 291 (4th Cir. 2021)</w:t>
        </w:r>
      </w:hyperlink>
      <w:r>
        <w:rPr>
          <w:rFonts w:ascii="times" w:eastAsia="times" w:hAnsi="times" w:cs="times"/>
          <w:b w:val="0"/>
          <w:i w:val="0"/>
          <w:strike w:val="0"/>
          <w:noProof w:val="0"/>
          <w:color w:val="000000"/>
          <w:position w:val="0"/>
          <w:sz w:val="20"/>
          <w:u w:val="none"/>
          <w:vertAlign w:val="baseline"/>
        </w:rPr>
        <w:t xml:space="preserve">. "In doing so, we accept as true the well-pled allegations of the complaint and construe the facts and reasonable inferences derived therefrom in the light most favorable to the plaintiff." </w:t>
      </w:r>
      <w:bookmarkStart w:id="30" w:name="Bookmark_I64W34KR2HM5RD0030000400"/>
      <w:bookmarkEnd w:id="30"/>
      <w:hyperlink r:id="rId13" w:history="1">
        <w:r>
          <w:rPr>
            <w:rFonts w:ascii="times" w:eastAsia="times" w:hAnsi="times" w:cs="times"/>
            <w:b w:val="0"/>
            <w:i/>
            <w:strike w:val="0"/>
            <w:noProof w:val="0"/>
            <w:color w:val="0077CC"/>
            <w:position w:val="0"/>
            <w:sz w:val="20"/>
            <w:u w:val="single"/>
            <w:shd w:val="clear" w:color="auto" w:fill="FFFFFF"/>
            <w:vertAlign w:val="baseline"/>
          </w:rPr>
          <w:t>Harbourt v. PPE Casino Resorts Md., LLC</w:t>
        </w:r>
      </w:hyperlink>
      <w:hyperlink r:id="rId13" w:history="1">
        <w:r>
          <w:rPr>
            <w:rFonts w:ascii="times" w:eastAsia="times" w:hAnsi="times" w:cs="times"/>
            <w:b w:val="0"/>
            <w:i w:val="0"/>
            <w:strike w:val="0"/>
            <w:noProof w:val="0"/>
            <w:color w:val="0077CC"/>
            <w:position w:val="0"/>
            <w:sz w:val="20"/>
            <w:u w:val="single"/>
            <w:shd w:val="clear" w:color="auto" w:fill="FFFFFF"/>
            <w:vertAlign w:val="baseline"/>
          </w:rPr>
          <w:t>, 820 F.3d 655, 658 (4th Cir. 2016)</w:t>
        </w:r>
      </w:hyperlink>
      <w:r>
        <w:rPr>
          <w:rFonts w:ascii="times" w:eastAsia="times" w:hAnsi="times" w:cs="times"/>
          <w:b w:val="0"/>
          <w:i w:val="0"/>
          <w:strike w:val="0"/>
          <w:noProof w:val="0"/>
          <w:color w:val="000000"/>
          <w:position w:val="0"/>
          <w:sz w:val="20"/>
          <w:u w:val="none"/>
          <w:vertAlign w:val="baseline"/>
        </w:rPr>
        <w:t>.</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III.</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A.</w:t>
      </w:r>
    </w:p>
    <w:p>
      <w:pPr>
        <w:keepNext w:val="0"/>
        <w:widowControl w:val="0"/>
        <w:spacing w:before="240" w:after="0" w:line="260" w:lineRule="atLeast"/>
        <w:ind w:left="0" w:right="0" w:firstLine="0"/>
        <w:jc w:val="left"/>
      </w:pPr>
      <w:r>
        <w:br/>
      </w:r>
      <w:r>
        <w:rPr>
          <w:rFonts w:ascii="times" w:eastAsia="times" w:hAnsi="times" w:cs="times"/>
          <w:b w:val="0"/>
          <w:i w:val="0"/>
          <w:strike w:val="0"/>
          <w:noProof w:val="0"/>
          <w:color w:val="000000"/>
          <w:position w:val="0"/>
          <w:sz w:val="20"/>
          <w:u w:val="single"/>
          <w:vertAlign w:val="baseline"/>
        </w:rPr>
        <w:t>RESPA and Regulation X</w:t>
      </w:r>
    </w:p>
    <w:p>
      <w:pPr>
        <w:keepNext w:val="0"/>
        <w:widowControl w:val="0"/>
        <w:spacing w:before="200" w:after="0" w:line="260" w:lineRule="atLeast"/>
        <w:ind w:left="0" w:right="0" w:firstLine="0"/>
        <w:jc w:val="both"/>
      </w:pPr>
      <w:bookmarkStart w:id="31" w:name="Bookmark_para_16"/>
      <w:bookmarkEnd w:id="31"/>
      <w:bookmarkStart w:id="32" w:name="Bookmark_LNHNREFclscc3"/>
      <w:bookmarkEnd w:id="32"/>
      <w:r>
        <w:rPr>
          <w:rFonts w:ascii="times" w:eastAsia="times" w:hAnsi="times" w:cs="times"/>
          <w:b w:val="0"/>
          <w:i w:val="0"/>
          <w:strike w:val="0"/>
          <w:noProof w:val="0"/>
          <w:color w:val="000000"/>
          <w:position w:val="0"/>
          <w:sz w:val="20"/>
          <w:u w:val="none"/>
          <w:vertAlign w:val="baseline"/>
        </w:rPr>
        <w:t xml:space="preserve">In relevant part, RESPA provides that loan servicers have a duty to respond to any QWR received from borrowers "for information relating to the servicing of the loan." </w:t>
      </w:r>
      <w:hyperlink r:id="rId14" w:history="1">
        <w:r>
          <w:rPr>
            <w:rFonts w:ascii="times" w:eastAsia="times" w:hAnsi="times" w:cs="times"/>
            <w:b w:val="0"/>
            <w:i w:val="0"/>
            <w:strike w:val="0"/>
            <w:noProof w:val="0"/>
            <w:color w:val="0077CC"/>
            <w:position w:val="0"/>
            <w:sz w:val="20"/>
            <w:u w:val="single"/>
            <w:shd w:val="clear" w:color="auto" w:fill="FFFFFF"/>
            <w:vertAlign w:val="baseline"/>
          </w:rPr>
          <w:t>12 U.S.C. § 2605(e)</w:t>
        </w:r>
      </w:hyperlink>
      <w:r>
        <w:rPr>
          <w:rFonts w:ascii="times" w:eastAsia="times" w:hAnsi="times" w:cs="times"/>
          <w:b w:val="0"/>
          <w:i w:val="0"/>
          <w:strike w:val="0"/>
          <w:noProof w:val="0"/>
          <w:color w:val="000000"/>
          <w:position w:val="0"/>
          <w:sz w:val="20"/>
          <w:u w:val="none"/>
          <w:vertAlign w:val="baseline"/>
        </w:rPr>
        <w:t>. Further, when a loan servicer receives a QWR, that servicer has a duty to refrain from "provid[ing] information regarding any overdue payment, owed by such borrower</w:t>
      </w:r>
      <w:r>
        <w:rPr>
          <w:rFonts w:ascii="times" w:eastAsia="times" w:hAnsi="times" w:cs="times"/>
          <w:b/>
          <w:i w:val="0"/>
          <w:strike w:val="0"/>
          <w:noProof w:val="0"/>
          <w:color w:val="000000"/>
          <w:position w:val="0"/>
          <w:sz w:val="20"/>
          <w:u w:val="none"/>
          <w:vertAlign w:val="baseline"/>
        </w:rPr>
        <w:t> [*7] </w:t>
      </w:r>
      <w:r>
        <w:rPr>
          <w:rFonts w:ascii="times" w:eastAsia="times" w:hAnsi="times" w:cs="times"/>
          <w:b w:val="0"/>
          <w:i w:val="0"/>
          <w:strike w:val="0"/>
          <w:noProof w:val="0"/>
          <w:color w:val="000000"/>
          <w:position w:val="0"/>
          <w:sz w:val="20"/>
          <w:u w:val="none"/>
          <w:vertAlign w:val="baseline"/>
        </w:rPr>
        <w:t xml:space="preserve"> and relating to such period [of sixty days from the servicer's receipt of a QWR] or [QWR], to any consumer reporting agency." </w:t>
      </w:r>
      <w:r>
        <w:rPr>
          <w:rFonts w:ascii="times" w:eastAsia="times" w:hAnsi="times" w:cs="times"/>
          <w:b w:val="0"/>
          <w:i/>
          <w:strike w:val="0"/>
          <w:noProof w:val="0"/>
          <w:color w:val="000000"/>
          <w:position w:val="0"/>
          <w:sz w:val="20"/>
          <w:u w:val="none"/>
          <w:vertAlign w:val="baseline"/>
        </w:rPr>
        <w:t>Id.</w:t>
      </w:r>
    </w:p>
    <w:p>
      <w:pPr>
        <w:keepNext w:val="0"/>
        <w:widowControl w:val="0"/>
        <w:spacing w:before="200" w:after="0" w:line="260" w:lineRule="atLeast"/>
        <w:ind w:left="0" w:right="0" w:firstLine="0"/>
        <w:jc w:val="both"/>
      </w:pPr>
      <w:bookmarkStart w:id="33" w:name="Bookmark_para_17"/>
      <w:bookmarkEnd w:id="33"/>
      <w:r>
        <w:rPr>
          <w:rFonts w:ascii="times" w:eastAsia="times" w:hAnsi="times" w:cs="times"/>
          <w:b w:val="0"/>
          <w:i w:val="0"/>
          <w:strike w:val="0"/>
          <w:noProof w:val="0"/>
          <w:color w:val="000000"/>
          <w:position w:val="0"/>
          <w:sz w:val="20"/>
          <w:u w:val="none"/>
          <w:vertAlign w:val="baseline"/>
        </w:rPr>
        <w:t xml:space="preserve">The CFPB has enforcement authority for RESPA. The CFPB has issued Regulation X to interpret and implement RESPA. </w:t>
      </w:r>
      <w:bookmarkStart w:id="34" w:name="Bookmark_LNHNREFclscc4"/>
      <w:bookmarkEnd w:id="34"/>
      <w:r>
        <w:rPr>
          <w:rFonts w:ascii="times" w:eastAsia="times" w:hAnsi="times" w:cs="times"/>
          <w:b w:val="0"/>
          <w:i w:val="0"/>
          <w:strike w:val="0"/>
          <w:noProof w:val="0"/>
          <w:color w:val="000000"/>
          <w:position w:val="0"/>
          <w:sz w:val="20"/>
          <w:u w:val="none"/>
          <w:vertAlign w:val="baseline"/>
        </w:rPr>
        <w:t>Regulation X provides guidance with regard to QWRs that assert an error, as well as guidance with regard to what constitutes "servicing."</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B.</w:t>
      </w:r>
    </w:p>
    <w:p>
      <w:pPr>
        <w:keepNext w:val="0"/>
        <w:widowControl w:val="0"/>
        <w:spacing w:before="240" w:after="0" w:line="260" w:lineRule="atLeast"/>
        <w:ind w:left="0" w:right="0" w:firstLine="0"/>
        <w:jc w:val="left"/>
      </w:pPr>
      <w:r>
        <w:br/>
      </w:r>
      <w:r>
        <w:rPr>
          <w:rFonts w:ascii="times" w:eastAsia="times" w:hAnsi="times" w:cs="times"/>
          <w:b w:val="0"/>
          <w:i w:val="0"/>
          <w:strike w:val="0"/>
          <w:noProof w:val="0"/>
          <w:color w:val="000000"/>
          <w:position w:val="0"/>
          <w:sz w:val="20"/>
          <w:u w:val="single"/>
          <w:vertAlign w:val="baseline"/>
        </w:rPr>
        <w:t>Qualified Written Requests</w:t>
      </w:r>
    </w:p>
    <w:p>
      <w:pPr>
        <w:keepNext w:val="0"/>
        <w:widowControl w:val="0"/>
        <w:spacing w:before="200" w:after="0" w:line="260" w:lineRule="atLeast"/>
        <w:ind w:left="0" w:right="0" w:firstLine="0"/>
        <w:jc w:val="both"/>
      </w:pPr>
      <w:bookmarkStart w:id="35" w:name="Bookmark_para_18"/>
      <w:bookmarkEnd w:id="35"/>
      <w:r>
        <w:rPr>
          <w:rFonts w:ascii="times" w:eastAsia="times" w:hAnsi="times" w:cs="times"/>
          <w:b w:val="0"/>
          <w:i w:val="0"/>
          <w:strike w:val="0"/>
          <w:noProof w:val="0"/>
          <w:color w:val="000000"/>
          <w:position w:val="0"/>
          <w:sz w:val="20"/>
          <w:u w:val="none"/>
          <w:vertAlign w:val="baseline"/>
        </w:rPr>
        <w:t>Per RESPA,</w:t>
      </w:r>
    </w:p>
    <w:p>
      <w:pPr>
        <w:keepNext w:val="0"/>
        <w:widowControl w:val="0"/>
        <w:spacing w:after="0" w:line="260" w:lineRule="atLeast"/>
        <w:ind w:left="400" w:right="0" w:firstLine="0"/>
        <w:jc w:val="both"/>
      </w:pPr>
      <w:bookmarkStart w:id="36" w:name="Bookmark_para_19"/>
      <w:bookmarkEnd w:id="36"/>
      <w:r>
        <w:rPr>
          <w:rFonts w:ascii="times" w:eastAsia="times" w:hAnsi="times" w:cs="times"/>
          <w:b w:val="0"/>
          <w:i w:val="0"/>
          <w:strike w:val="0"/>
          <w:noProof w:val="0"/>
          <w:color w:val="000000"/>
          <w:position w:val="0"/>
          <w:sz w:val="20"/>
          <w:u w:val="none"/>
          <w:vertAlign w:val="baseline"/>
        </w:rPr>
        <w:t>[A] qualified written request shall be a written correspondence, other than notice on a payment coupon or other payment medium supplied by the servicer, that—</w:t>
      </w:r>
    </w:p>
    <w:p>
      <w:pPr>
        <w:keepNext w:val="0"/>
        <w:widowControl w:val="0"/>
        <w:spacing w:after="0" w:line="260" w:lineRule="atLeast"/>
        <w:ind w:left="400" w:right="0" w:firstLine="0"/>
        <w:jc w:val="both"/>
      </w:pPr>
      <w:bookmarkStart w:id="37" w:name="Bookmark_para_20"/>
      <w:bookmarkEnd w:id="37"/>
      <w:r>
        <w:rPr>
          <w:rFonts w:ascii="times" w:eastAsia="times" w:hAnsi="times" w:cs="times"/>
          <w:b w:val="0"/>
          <w:i w:val="0"/>
          <w:strike w:val="0"/>
          <w:noProof w:val="0"/>
          <w:color w:val="000000"/>
          <w:position w:val="0"/>
          <w:sz w:val="20"/>
          <w:u w:val="none"/>
          <w:vertAlign w:val="baseline"/>
        </w:rPr>
        <w:t>(i) includes, or otherwise enables the servicer to identify, the name and account of the borrower; and</w:t>
      </w:r>
    </w:p>
    <w:p>
      <w:pPr>
        <w:keepNext w:val="0"/>
        <w:widowControl w:val="0"/>
        <w:spacing w:after="0" w:line="260" w:lineRule="atLeast"/>
        <w:ind w:left="400" w:right="0" w:firstLine="0"/>
        <w:jc w:val="both"/>
      </w:pPr>
      <w:bookmarkStart w:id="38" w:name="Bookmark_para_21"/>
      <w:bookmarkEnd w:id="38"/>
      <w:r>
        <w:rPr>
          <w:rFonts w:ascii="times" w:eastAsia="times" w:hAnsi="times" w:cs="times"/>
          <w:b w:val="0"/>
          <w:i w:val="0"/>
          <w:strike w:val="0"/>
          <w:noProof w:val="0"/>
          <w:color w:val="000000"/>
          <w:position w:val="0"/>
          <w:sz w:val="20"/>
          <w:u w:val="none"/>
          <w:vertAlign w:val="baseline"/>
        </w:rPr>
        <w:t>(ii) includes a statement of the reasons for the belief of the borrower, to the extent applicable, that the account is in error or provides sufficient detail to the servicer regarding other information sought by the borrower.</w:t>
      </w:r>
    </w:p>
    <w:p>
      <w:pPr>
        <w:keepNext w:val="0"/>
        <w:widowControl w:val="0"/>
        <w:spacing w:before="240" w:after="0" w:line="260" w:lineRule="atLeast"/>
        <w:ind w:left="0" w:right="0" w:firstLine="0"/>
        <w:jc w:val="both"/>
      </w:pPr>
      <w:hyperlink r:id="rId14" w:history="1">
        <w:r>
          <w:rPr>
            <w:rFonts w:ascii="times" w:eastAsia="times" w:hAnsi="times" w:cs="times"/>
            <w:b w:val="0"/>
            <w:i w:val="0"/>
            <w:strike w:val="0"/>
            <w:color w:val="0077CC"/>
            <w:sz w:val="20"/>
            <w:u w:val="single"/>
            <w:shd w:val="clear" w:color="auto" w:fill="FFFFFF"/>
            <w:vertAlign w:val="baseline"/>
          </w:rPr>
          <w:t>12 U.S.C. § 2605(e)(1)(B)</w:t>
        </w:r>
      </w:hyperlink>
      <w:r>
        <w:rPr>
          <w:rFonts w:ascii="times" w:eastAsia="times" w:hAnsi="times" w:cs="times"/>
          <w:b w:val="0"/>
          <w:i w:val="0"/>
          <w:strike w:val="0"/>
          <w:noProof w:val="0"/>
          <w:color w:val="000000"/>
          <w:position w:val="0"/>
          <w:sz w:val="20"/>
          <w:u w:val="none"/>
          <w:vertAlign w:val="baseline"/>
        </w:rPr>
        <w:t>. In turn, Regulation X provides:</w:t>
      </w:r>
    </w:p>
    <w:p>
      <w:pPr>
        <w:keepNext w:val="0"/>
        <w:widowControl w:val="0"/>
        <w:spacing w:before="200" w:after="0" w:line="260" w:lineRule="atLeast"/>
        <w:ind w:left="400" w:right="0" w:firstLine="0"/>
        <w:jc w:val="both"/>
      </w:pPr>
      <w:bookmarkStart w:id="39" w:name="Bookmark_para_22"/>
      <w:bookmarkEnd w:id="39"/>
      <w:r>
        <w:rPr>
          <w:rFonts w:ascii="times" w:eastAsia="times" w:hAnsi="times" w:cs="times"/>
          <w:b w:val="0"/>
          <w:i w:val="0"/>
          <w:strike w:val="0"/>
          <w:noProof w:val="0"/>
          <w:color w:val="000000"/>
          <w:position w:val="0"/>
          <w:sz w:val="20"/>
          <w:u w:val="none"/>
          <w:vertAlign w:val="baseline"/>
        </w:rPr>
        <w:t>A servicer shall comply with the requirements of this section for any written notice from the borrower that asserts an error and that includes the name of the borrower, information that enables the servicer to identify the borrower's mortgage loan account, and the error the borrower believes</w:t>
      </w:r>
      <w:r>
        <w:rPr>
          <w:rFonts w:ascii="times" w:eastAsia="times" w:hAnsi="times" w:cs="times"/>
          <w:b/>
          <w:i w:val="0"/>
          <w:strike w:val="0"/>
          <w:noProof w:val="0"/>
          <w:color w:val="000000"/>
          <w:position w:val="0"/>
          <w:sz w:val="20"/>
          <w:u w:val="none"/>
          <w:vertAlign w:val="baseline"/>
        </w:rPr>
        <w:t> [*8] </w:t>
      </w:r>
      <w:r>
        <w:rPr>
          <w:rFonts w:ascii="times" w:eastAsia="times" w:hAnsi="times" w:cs="times"/>
          <w:b w:val="0"/>
          <w:i w:val="0"/>
          <w:strike w:val="0"/>
          <w:noProof w:val="0"/>
          <w:color w:val="000000"/>
          <w:position w:val="0"/>
          <w:sz w:val="20"/>
          <w:u w:val="none"/>
          <w:vertAlign w:val="baseline"/>
        </w:rPr>
        <w:t xml:space="preserve"> has occurred. A notice on a payment coupon or other payment form supplied by the servicer need not be treated by the servicer as a notice of error. A qualified written request that asserts an error relating to the servicing of a mortgage loan is a notice of error for purposes of this section, and a servicer must comply with all requirements applicable to a notice of error with respect to such qualified written request.</w:t>
      </w:r>
    </w:p>
    <w:p>
      <w:pPr>
        <w:keepNext w:val="0"/>
        <w:widowControl w:val="0"/>
        <w:spacing w:before="200" w:after="0" w:line="260" w:lineRule="atLeast"/>
        <w:ind w:left="0" w:right="0" w:firstLine="0"/>
        <w:jc w:val="both"/>
      </w:pPr>
      <w:hyperlink r:id="rId15" w:history="1">
        <w:r>
          <w:rPr>
            <w:rFonts w:ascii="times" w:eastAsia="times" w:hAnsi="times" w:cs="times"/>
            <w:b w:val="0"/>
            <w:i w:val="0"/>
            <w:strike w:val="0"/>
            <w:color w:val="0077CC"/>
            <w:sz w:val="20"/>
            <w:u w:val="single"/>
            <w:shd w:val="clear" w:color="auto" w:fill="FFFFFF"/>
            <w:vertAlign w:val="baseline"/>
          </w:rPr>
          <w:t>12 CFR § 1024.35(a)</w:t>
        </w:r>
      </w:hyperlink>
      <w:r>
        <w:rPr>
          <w:rFonts w:ascii="times" w:eastAsia="times" w:hAnsi="times" w:cs="times"/>
          <w:b w:val="0"/>
          <w:i w:val="0"/>
          <w:strike w:val="0"/>
          <w:noProof w:val="0"/>
          <w:color w:val="000000"/>
          <w:position w:val="0"/>
          <w:sz w:val="20"/>
          <w:u w:val="none"/>
          <w:vertAlign w:val="baseline"/>
        </w:rPr>
        <w:t xml:space="preserve">. </w:t>
      </w:r>
      <w:bookmarkStart w:id="40" w:name="Bookmark_LNHNREFclscc5"/>
      <w:bookmarkEnd w:id="40"/>
      <w:r>
        <w:rPr>
          <w:rFonts w:ascii="times" w:eastAsia="times" w:hAnsi="times" w:cs="times"/>
          <w:b w:val="0"/>
          <w:i w:val="0"/>
          <w:strike w:val="0"/>
          <w:noProof w:val="0"/>
          <w:color w:val="000000"/>
          <w:position w:val="0"/>
          <w:sz w:val="20"/>
          <w:u w:val="none"/>
          <w:vertAlign w:val="baseline"/>
        </w:rPr>
        <w:t xml:space="preserve">As to what constitutes an error, </w:t>
      </w:r>
      <w:hyperlink r:id="rId15" w:history="1">
        <w:r>
          <w:rPr>
            <w:rFonts w:ascii="times" w:eastAsia="times" w:hAnsi="times" w:cs="times"/>
            <w:b w:val="0"/>
            <w:i w:val="0"/>
            <w:strike w:val="0"/>
            <w:noProof w:val="0"/>
            <w:color w:val="0077CC"/>
            <w:position w:val="0"/>
            <w:sz w:val="20"/>
            <w:u w:val="single"/>
            <w:shd w:val="clear" w:color="auto" w:fill="FFFFFF"/>
            <w:vertAlign w:val="baseline"/>
          </w:rPr>
          <w:t>Regulation X</w:t>
        </w:r>
      </w:hyperlink>
      <w:r>
        <w:rPr>
          <w:rFonts w:ascii="times" w:eastAsia="times" w:hAnsi="times" w:cs="times"/>
          <w:b w:val="0"/>
          <w:i w:val="0"/>
          <w:strike w:val="0"/>
          <w:noProof w:val="0"/>
          <w:color w:val="000000"/>
          <w:position w:val="0"/>
          <w:sz w:val="20"/>
          <w:u w:val="none"/>
          <w:vertAlign w:val="baseline"/>
        </w:rPr>
        <w:t xml:space="preserve"> details 11 specific categories of errors (e.g., failure to accept payment, imposition of fees without a reasonable basis, failure to provide an accurate payoff balance amount upon borrower's request), as well as a catchall category of "any other error relating to the servicing of a borrower's mortgage loan." </w:t>
      </w:r>
      <w:r>
        <w:rPr>
          <w:rFonts w:ascii="times" w:eastAsia="times" w:hAnsi="times" w:cs="times"/>
          <w:b w:val="0"/>
          <w:i/>
          <w:strike w:val="0"/>
          <w:noProof w:val="0"/>
          <w:color w:val="000000"/>
          <w:position w:val="0"/>
          <w:sz w:val="20"/>
          <w:u w:val="none"/>
          <w:vertAlign w:val="baseline"/>
        </w:rPr>
        <w:t>Id.</w:t>
      </w:r>
    </w:p>
    <w:p>
      <w:pPr>
        <w:keepNext w:val="0"/>
        <w:widowControl w:val="0"/>
        <w:spacing w:before="240" w:after="0" w:line="260" w:lineRule="atLeast"/>
        <w:ind w:left="0" w:right="0" w:firstLine="0"/>
        <w:jc w:val="both"/>
      </w:pPr>
      <w:bookmarkStart w:id="41" w:name="Bookmark_para_23"/>
      <w:bookmarkEnd w:id="41"/>
      <w:bookmarkStart w:id="42" w:name="Bookmark_I64W34KS2N1RHP0010000400"/>
      <w:bookmarkEnd w:id="42"/>
      <w:bookmarkStart w:id="43" w:name="Bookmark_I64W34KS2N1RHP0030000400"/>
      <w:bookmarkEnd w:id="43"/>
      <w:r>
        <w:rPr>
          <w:rFonts w:ascii="times" w:eastAsia="times" w:hAnsi="times" w:cs="times"/>
          <w:b w:val="0"/>
          <w:i w:val="0"/>
          <w:strike w:val="0"/>
          <w:noProof w:val="0"/>
          <w:color w:val="000000"/>
          <w:position w:val="0"/>
          <w:sz w:val="20"/>
          <w:u w:val="none"/>
          <w:vertAlign w:val="baseline"/>
        </w:rPr>
        <w:t xml:space="preserve">In </w:t>
      </w:r>
      <w:bookmarkStart w:id="44" w:name="Bookmark_I64W34KR2HM5RD0050000400"/>
      <w:bookmarkEnd w:id="44"/>
      <w:hyperlink r:id="rId16" w:history="1">
        <w:r>
          <w:rPr>
            <w:rFonts w:ascii="times" w:eastAsia="times" w:hAnsi="times" w:cs="times"/>
            <w:b w:val="0"/>
            <w:i/>
            <w:strike w:val="0"/>
            <w:noProof w:val="0"/>
            <w:color w:val="0077CC"/>
            <w:position w:val="0"/>
            <w:sz w:val="20"/>
            <w:u w:val="single"/>
            <w:shd w:val="clear" w:color="auto" w:fill="FFFFFF"/>
            <w:vertAlign w:val="baseline"/>
          </w:rPr>
          <w:t>Poindexter v. Mercedes-Benz Credit Corp.</w:t>
        </w:r>
      </w:hyperlink>
      <w:hyperlink r:id="rId16" w:history="1">
        <w:r>
          <w:rPr>
            <w:rFonts w:ascii="times" w:eastAsia="times" w:hAnsi="times" w:cs="times"/>
            <w:b w:val="0"/>
            <w:i w:val="0"/>
            <w:strike w:val="0"/>
            <w:noProof w:val="0"/>
            <w:color w:val="0077CC"/>
            <w:position w:val="0"/>
            <w:sz w:val="20"/>
            <w:u w:val="single"/>
            <w:shd w:val="clear" w:color="auto" w:fill="FFFFFF"/>
            <w:vertAlign w:val="baseline"/>
          </w:rPr>
          <w:t>, 792 F.3d 406 (4th Cir. 2015)</w:t>
        </w:r>
      </w:hyperlink>
      <w:r>
        <w:rPr>
          <w:rFonts w:ascii="times" w:eastAsia="times" w:hAnsi="times" w:cs="times"/>
          <w:b w:val="0"/>
          <w:i w:val="0"/>
          <w:strike w:val="0"/>
          <w:noProof w:val="0"/>
          <w:color w:val="000000"/>
          <w:position w:val="0"/>
          <w:sz w:val="20"/>
          <w:u w:val="none"/>
          <w:vertAlign w:val="baseline"/>
        </w:rPr>
        <w:t xml:space="preserve">, we addressed what constitutes a QWR pursuant to RESPA. </w:t>
      </w:r>
      <w:bookmarkStart w:id="45" w:name="Bookmark_LNHNREFclscc6"/>
      <w:bookmarkEnd w:id="45"/>
      <w:r>
        <w:rPr>
          <w:rFonts w:ascii="times" w:eastAsia="times" w:hAnsi="times" w:cs="times"/>
          <w:b w:val="0"/>
          <w:i w:val="0"/>
          <w:strike w:val="0"/>
          <w:noProof w:val="0"/>
          <w:color w:val="000000"/>
          <w:position w:val="0"/>
          <w:sz w:val="20"/>
          <w:u w:val="none"/>
          <w:vertAlign w:val="baseline"/>
        </w:rPr>
        <w:t xml:space="preserve">To qualify as a QWR, a document must be a "written correspondence" that contains either (1) a "statement of the reasons" for the borrower's belief the account is in error or (2) "sufficient detail" regarding the information requested by the borrower. </w:t>
      </w:r>
      <w:bookmarkStart w:id="46" w:name="Bookmark_I64W34KS2N1RHP0020000400"/>
      <w:bookmarkEnd w:id="46"/>
      <w:hyperlink r:id="rId16" w:history="1">
        <w:r>
          <w:rPr>
            <w:rFonts w:ascii="times" w:eastAsia="times" w:hAnsi="times" w:cs="times"/>
            <w:b w:val="0"/>
            <w:i/>
            <w:strike w:val="0"/>
            <w:noProof w:val="0"/>
            <w:color w:val="0077CC"/>
            <w:position w:val="0"/>
            <w:sz w:val="20"/>
            <w:u w:val="single"/>
            <w:shd w:val="clear" w:color="auto" w:fill="FFFFFF"/>
            <w:vertAlign w:val="baseline"/>
          </w:rPr>
          <w:t>Poindexter v. Mercedes-Benz Credit Corp.</w:t>
        </w:r>
      </w:hyperlink>
      <w:hyperlink r:id="rId16" w:history="1">
        <w:r>
          <w:rPr>
            <w:rFonts w:ascii="times" w:eastAsia="times" w:hAnsi="times" w:cs="times"/>
            <w:b w:val="0"/>
            <w:i w:val="0"/>
            <w:strike w:val="0"/>
            <w:noProof w:val="0"/>
            <w:color w:val="0077CC"/>
            <w:position w:val="0"/>
            <w:sz w:val="20"/>
            <w:u w:val="single"/>
            <w:shd w:val="clear" w:color="auto" w:fill="FFFFFF"/>
            <w:vertAlign w:val="baseline"/>
          </w:rPr>
          <w:t>, 792 F.3d 406, 413 (4th Cir. 2015)</w:t>
        </w:r>
      </w:hyperlink>
      <w:r>
        <w:rPr>
          <w:rFonts w:ascii="times" w:eastAsia="times" w:hAnsi="times" w:cs="times"/>
          <w:b w:val="0"/>
          <w:i w:val="0"/>
          <w:strike w:val="0"/>
          <w:noProof w:val="0"/>
          <w:color w:val="000000"/>
          <w:position w:val="0"/>
          <w:sz w:val="20"/>
          <w:u w:val="none"/>
          <w:vertAlign w:val="baseline"/>
        </w:rPr>
        <w:t xml:space="preserve"> (emphasis deleted) (quoting </w:t>
      </w:r>
      <w:hyperlink r:id="rId14" w:history="1">
        <w:r>
          <w:rPr>
            <w:rFonts w:ascii="times" w:eastAsia="times" w:hAnsi="times" w:cs="times"/>
            <w:b w:val="0"/>
            <w:i w:val="0"/>
            <w:strike w:val="0"/>
            <w:noProof w:val="0"/>
            <w:color w:val="0077CC"/>
            <w:position w:val="0"/>
            <w:sz w:val="20"/>
            <w:u w:val="single"/>
            <w:shd w:val="clear" w:color="auto" w:fill="FFFFFF"/>
            <w:vertAlign w:val="baseline"/>
          </w:rPr>
          <w:t>12 U.S.C. § 2605(e)(1)</w:t>
        </w:r>
      </w:hyperlink>
      <w:r>
        <w:rPr>
          <w:rFonts w:ascii="times" w:eastAsia="times" w:hAnsi="times" w:cs="times"/>
          <w:b w:val="0"/>
          <w:i w:val="0"/>
          <w:strike w:val="0"/>
          <w:noProof w:val="0"/>
          <w:color w:val="000000"/>
          <w:position w:val="0"/>
          <w:sz w:val="20"/>
          <w:u w:val="none"/>
          <w:vertAlign w:val="baseline"/>
        </w:rPr>
        <w:t xml:space="preserve">). Further, a QWR "must identify the 'account of the borrower' that is disputed." </w:t>
      </w:r>
      <w:r>
        <w:rPr>
          <w:rFonts w:ascii="times" w:eastAsia="times" w:hAnsi="times" w:cs="times"/>
          <w:b w:val="0"/>
          <w:i/>
          <w:strike w:val="0"/>
          <w:noProof w:val="0"/>
          <w:color w:val="000000"/>
          <w:position w:val="0"/>
          <w:sz w:val="20"/>
          <w:u w:val="none"/>
          <w:vertAlign w:val="baseline"/>
        </w:rPr>
        <w:t>Id.</w:t>
      </w:r>
      <w:r>
        <w:rPr>
          <w:rFonts w:ascii="times" w:eastAsia="times" w:hAnsi="times" w:cs="times"/>
          <w:b w:val="0"/>
          <w:i w:val="0"/>
          <w:strike w:val="0"/>
          <w:noProof w:val="0"/>
          <w:color w:val="000000"/>
          <w:position w:val="0"/>
          <w:sz w:val="20"/>
          <w:u w:val="none"/>
          <w:vertAlign w:val="baseline"/>
        </w:rPr>
        <w:t xml:space="preserve"> However,</w:t>
      </w:r>
      <w:r>
        <w:rPr>
          <w:rFonts w:ascii="times" w:eastAsia="times" w:hAnsi="times" w:cs="times"/>
          <w:b/>
          <w:i w:val="0"/>
          <w:strike w:val="0"/>
          <w:noProof w:val="0"/>
          <w:color w:val="000000"/>
          <w:position w:val="0"/>
          <w:sz w:val="20"/>
          <w:u w:val="none"/>
          <w:vertAlign w:val="baseline"/>
        </w:rPr>
        <w:t> [*9] </w:t>
      </w:r>
      <w:r>
        <w:rPr>
          <w:rFonts w:ascii="times" w:eastAsia="times" w:hAnsi="times" w:cs="times"/>
          <w:b w:val="0"/>
          <w:i w:val="0"/>
          <w:strike w:val="0"/>
          <w:noProof w:val="0"/>
          <w:color w:val="000000"/>
          <w:position w:val="0"/>
          <w:sz w:val="20"/>
          <w:u w:val="none"/>
          <w:vertAlign w:val="baseline"/>
        </w:rPr>
        <w:t xml:space="preserve"> RESPA does not require the borrower to explicitly state details such as the account number; rather, it allows for the QWR to include information that "otherwise enables the servicer to identify" the account. </w:t>
      </w:r>
      <w:hyperlink r:id="rId14" w:history="1">
        <w:r>
          <w:rPr>
            <w:rFonts w:ascii="times" w:eastAsia="times" w:hAnsi="times" w:cs="times"/>
            <w:b w:val="0"/>
            <w:i w:val="0"/>
            <w:strike w:val="0"/>
            <w:noProof w:val="0"/>
            <w:color w:val="0077CC"/>
            <w:position w:val="0"/>
            <w:sz w:val="20"/>
            <w:u w:val="single"/>
            <w:shd w:val="clear" w:color="auto" w:fill="FFFFFF"/>
            <w:vertAlign w:val="baseline"/>
          </w:rPr>
          <w:t>12 U.S.C. § 2605(e)(1)(B)(i)</w:t>
        </w:r>
      </w:hyperlink>
      <w:r>
        <w:rPr>
          <w:rFonts w:ascii="times" w:eastAsia="times" w:hAnsi="times" w:cs="times"/>
          <w:b w:val="0"/>
          <w:i w:val="0"/>
          <w:strike w:val="0"/>
          <w:noProof w:val="0"/>
          <w:color w:val="000000"/>
          <w:position w:val="0"/>
          <w:sz w:val="20"/>
          <w:u w:val="none"/>
          <w:vertAlign w:val="baseline"/>
        </w:rPr>
        <w:t>.</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C.</w:t>
      </w:r>
    </w:p>
    <w:p>
      <w:pPr>
        <w:keepNext w:val="0"/>
        <w:widowControl w:val="0"/>
        <w:spacing w:before="240" w:after="0" w:line="260" w:lineRule="atLeast"/>
        <w:ind w:left="0" w:right="0" w:firstLine="0"/>
        <w:jc w:val="left"/>
      </w:pPr>
      <w:r>
        <w:br/>
      </w:r>
      <w:r>
        <w:rPr>
          <w:rFonts w:ascii="times" w:eastAsia="times" w:hAnsi="times" w:cs="times"/>
          <w:b w:val="0"/>
          <w:i w:val="0"/>
          <w:strike w:val="0"/>
          <w:noProof w:val="0"/>
          <w:color w:val="000000"/>
          <w:position w:val="0"/>
          <w:sz w:val="20"/>
          <w:u w:val="single"/>
          <w:vertAlign w:val="baseline"/>
        </w:rPr>
        <w:t>Servicing</w:t>
      </w:r>
    </w:p>
    <w:p>
      <w:pPr>
        <w:keepNext w:val="0"/>
        <w:widowControl w:val="0"/>
        <w:spacing w:before="200" w:after="0" w:line="260" w:lineRule="atLeast"/>
        <w:ind w:left="0" w:right="0" w:firstLine="0"/>
        <w:jc w:val="both"/>
      </w:pPr>
      <w:bookmarkStart w:id="47" w:name="Bookmark_para_24"/>
      <w:bookmarkEnd w:id="47"/>
      <w:r>
        <w:rPr>
          <w:rFonts w:ascii="times" w:eastAsia="times" w:hAnsi="times" w:cs="times"/>
          <w:b w:val="0"/>
          <w:i w:val="0"/>
          <w:strike w:val="0"/>
          <w:noProof w:val="0"/>
          <w:color w:val="000000"/>
          <w:position w:val="0"/>
          <w:sz w:val="20"/>
          <w:u w:val="none"/>
          <w:vertAlign w:val="baseline"/>
        </w:rPr>
        <w:t>Pursuant to RESPA:</w:t>
      </w:r>
    </w:p>
    <w:p>
      <w:pPr>
        <w:keepNext w:val="0"/>
        <w:widowControl w:val="0"/>
        <w:spacing w:before="240" w:after="0" w:line="260" w:lineRule="atLeast"/>
        <w:ind w:left="400" w:right="0" w:firstLine="0"/>
        <w:jc w:val="both"/>
      </w:pPr>
      <w:bookmarkStart w:id="48" w:name="Bookmark_para_25"/>
      <w:bookmarkEnd w:id="48"/>
      <w:r>
        <w:rPr>
          <w:rFonts w:ascii="times" w:eastAsia="times" w:hAnsi="times" w:cs="times"/>
          <w:b w:val="0"/>
          <w:i w:val="0"/>
          <w:strike w:val="0"/>
          <w:noProof w:val="0"/>
          <w:color w:val="000000"/>
          <w:position w:val="0"/>
          <w:sz w:val="20"/>
          <w:u w:val="none"/>
          <w:vertAlign w:val="baseline"/>
        </w:rPr>
        <w:t>The term "servicing" means receiving any scheduled periodic payments from a borrower pursuant to the terms of any loan, including amounts for escrow accounts described in [</w:t>
      </w:r>
      <w:hyperlink r:id="rId17" w:history="1">
        <w:r>
          <w:rPr>
            <w:rFonts w:ascii="times" w:eastAsia="times" w:hAnsi="times" w:cs="times"/>
            <w:b w:val="0"/>
            <w:i w:val="0"/>
            <w:strike w:val="0"/>
            <w:noProof w:val="0"/>
            <w:color w:val="0077CC"/>
            <w:position w:val="0"/>
            <w:sz w:val="20"/>
            <w:u w:val="single"/>
            <w:shd w:val="clear" w:color="auto" w:fill="FFFFFF"/>
            <w:vertAlign w:val="baseline"/>
          </w:rPr>
          <w:t>12 U.S.C. § 2609</w:t>
        </w:r>
      </w:hyperlink>
      <w:r>
        <w:rPr>
          <w:rFonts w:ascii="times" w:eastAsia="times" w:hAnsi="times" w:cs="times"/>
          <w:b w:val="0"/>
          <w:i w:val="0"/>
          <w:strike w:val="0"/>
          <w:noProof w:val="0"/>
          <w:color w:val="000000"/>
          <w:position w:val="0"/>
          <w:sz w:val="20"/>
          <w:u w:val="none"/>
          <w:vertAlign w:val="baseline"/>
        </w:rPr>
        <w:t>], and making the payments of principal and interest and such other payments with respect to the amounts received from the borrower as may be required pursuant to the terms of the loan.</w:t>
      </w:r>
    </w:p>
    <w:p>
      <w:pPr>
        <w:keepNext w:val="0"/>
        <w:widowControl w:val="0"/>
        <w:spacing w:before="240" w:after="0" w:line="260" w:lineRule="atLeast"/>
        <w:ind w:left="0" w:right="0" w:firstLine="0"/>
        <w:jc w:val="both"/>
      </w:pPr>
      <w:hyperlink r:id="rId14" w:history="1">
        <w:r>
          <w:rPr>
            <w:rFonts w:ascii="times" w:eastAsia="times" w:hAnsi="times" w:cs="times"/>
            <w:b w:val="0"/>
            <w:i w:val="0"/>
            <w:strike w:val="0"/>
            <w:color w:val="0077CC"/>
            <w:sz w:val="20"/>
            <w:u w:val="single"/>
            <w:shd w:val="clear" w:color="auto" w:fill="FFFFFF"/>
            <w:vertAlign w:val="baseline"/>
          </w:rPr>
          <w:t>12 U.S.C. § 2605(i)(3)</w:t>
        </w:r>
      </w:hyperlink>
      <w:r>
        <w:rPr>
          <w:rFonts w:ascii="times" w:eastAsia="times" w:hAnsi="times" w:cs="times"/>
          <w:b w:val="0"/>
          <w:i w:val="0"/>
          <w:strike w:val="0"/>
          <w:noProof w:val="0"/>
          <w:color w:val="000000"/>
          <w:position w:val="0"/>
          <w:sz w:val="20"/>
          <w:u w:val="none"/>
          <w:vertAlign w:val="baseline"/>
        </w:rPr>
        <w:t xml:space="preserve">. </w:t>
      </w:r>
      <w:bookmarkStart w:id="49" w:name="Bookmark_LNHNREFclscc7"/>
      <w:bookmarkEnd w:id="49"/>
      <w:r>
        <w:rPr>
          <w:rFonts w:ascii="times" w:eastAsia="times" w:hAnsi="times" w:cs="times"/>
          <w:b w:val="0"/>
          <w:i w:val="0"/>
          <w:strike w:val="0"/>
          <w:noProof w:val="0"/>
          <w:color w:val="000000"/>
          <w:position w:val="0"/>
          <w:sz w:val="20"/>
          <w:u w:val="none"/>
          <w:vertAlign w:val="baseline"/>
        </w:rPr>
        <w:t xml:space="preserve">RESPA provides that a servicer shall not "fail to take timely action to respond to a borrower's requests to correct errors" related to servicing, such as "errors relating to allocation of payments, final balances for purposes of paying off the loan, or avoiding foreclosure, or other standard servicer's duties." </w:t>
      </w:r>
      <w:r>
        <w:rPr>
          <w:rFonts w:ascii="times" w:eastAsia="times" w:hAnsi="times" w:cs="times"/>
          <w:b w:val="0"/>
          <w:i/>
          <w:strike w:val="0"/>
          <w:noProof w:val="0"/>
          <w:color w:val="000000"/>
          <w:position w:val="0"/>
          <w:sz w:val="20"/>
          <w:u w:val="none"/>
          <w:vertAlign w:val="baseline"/>
        </w:rPr>
        <w:t>Id.</w:t>
      </w:r>
      <w:r>
        <w:rPr>
          <w:rFonts w:ascii="times" w:eastAsia="times" w:hAnsi="times" w:cs="times"/>
          <w:b w:val="0"/>
          <w:i w:val="0"/>
          <w:strike w:val="0"/>
          <w:noProof w:val="0"/>
          <w:color w:val="000000"/>
          <w:position w:val="0"/>
          <w:sz w:val="20"/>
          <w:u w:val="none"/>
          <w:vertAlign w:val="baseline"/>
        </w:rPr>
        <w:t xml:space="preserve"> </w:t>
      </w:r>
      <w:hyperlink r:id="rId14" w:history="1">
        <w:r>
          <w:rPr>
            <w:rFonts w:ascii="times" w:eastAsia="times" w:hAnsi="times" w:cs="times"/>
            <w:b w:val="0"/>
            <w:i w:val="0"/>
            <w:strike w:val="0"/>
            <w:noProof w:val="0"/>
            <w:color w:val="0077CC"/>
            <w:position w:val="0"/>
            <w:sz w:val="20"/>
            <w:u w:val="single"/>
            <w:shd w:val="clear" w:color="auto" w:fill="FFFFFF"/>
            <w:vertAlign w:val="baseline"/>
          </w:rPr>
          <w:t>§ 2605(k)(1)(C)</w:t>
        </w:r>
      </w:hyperlink>
      <w:r>
        <w:rPr>
          <w:rFonts w:ascii="times" w:eastAsia="times" w:hAnsi="times" w:cs="times"/>
          <w:b w:val="0"/>
          <w:i w:val="0"/>
          <w:strike w:val="0"/>
          <w:noProof w:val="0"/>
          <w:color w:val="000000"/>
          <w:position w:val="0"/>
          <w:sz w:val="20"/>
          <w:u w:val="none"/>
          <w:vertAlign w:val="baseline"/>
        </w:rPr>
        <w:t>.</w:t>
      </w:r>
    </w:p>
    <w:p>
      <w:pPr>
        <w:keepNext w:val="0"/>
        <w:widowControl w:val="0"/>
        <w:spacing w:before="200" w:after="0" w:line="260" w:lineRule="atLeast"/>
        <w:ind w:left="0" w:right="0" w:firstLine="0"/>
        <w:jc w:val="both"/>
      </w:pPr>
      <w:bookmarkStart w:id="50" w:name="Bookmark_para_26"/>
      <w:bookmarkEnd w:id="50"/>
      <w:bookmarkStart w:id="51" w:name="Bookmark_LNHNREFclscc8"/>
      <w:bookmarkEnd w:id="51"/>
      <w:r>
        <w:rPr>
          <w:rFonts w:ascii="times" w:eastAsia="times" w:hAnsi="times" w:cs="times"/>
          <w:b w:val="0"/>
          <w:i w:val="0"/>
          <w:strike w:val="0"/>
          <w:noProof w:val="0"/>
          <w:color w:val="000000"/>
          <w:position w:val="0"/>
          <w:sz w:val="20"/>
          <w:u w:val="none"/>
          <w:vertAlign w:val="baseline"/>
        </w:rPr>
        <w:t>Regulation X further defines "servicing" as:</w:t>
      </w:r>
    </w:p>
    <w:p>
      <w:pPr>
        <w:keepNext w:val="0"/>
        <w:widowControl w:val="0"/>
        <w:spacing w:before="200" w:after="0" w:line="260" w:lineRule="atLeast"/>
        <w:ind w:left="400" w:right="0" w:firstLine="0"/>
        <w:jc w:val="both"/>
      </w:pPr>
      <w:bookmarkStart w:id="52" w:name="Bookmark_para_27"/>
      <w:bookmarkEnd w:id="52"/>
      <w:r>
        <w:rPr>
          <w:rFonts w:ascii="times" w:eastAsia="times" w:hAnsi="times" w:cs="times"/>
          <w:b w:val="0"/>
          <w:i w:val="0"/>
          <w:strike w:val="0"/>
          <w:noProof w:val="0"/>
          <w:color w:val="000000"/>
          <w:position w:val="0"/>
          <w:sz w:val="20"/>
          <w:u w:val="none"/>
          <w:vertAlign w:val="baseline"/>
        </w:rPr>
        <w:t>receiving any scheduled periodic payments from a borrower pursuant to the terms of any federally related mortgage loan, including amounts for escrow accounts under [</w:t>
      </w:r>
      <w:hyperlink r:id="rId17" w:history="1">
        <w:r>
          <w:rPr>
            <w:rFonts w:ascii="times" w:eastAsia="times" w:hAnsi="times" w:cs="times"/>
            <w:b w:val="0"/>
            <w:i w:val="0"/>
            <w:strike w:val="0"/>
            <w:noProof w:val="0"/>
            <w:color w:val="0077CC"/>
            <w:position w:val="0"/>
            <w:sz w:val="20"/>
            <w:u w:val="single"/>
            <w:shd w:val="clear" w:color="auto" w:fill="FFFFFF"/>
            <w:vertAlign w:val="baseline"/>
          </w:rPr>
          <w:t>12 U.S.C. § 2609</w:t>
        </w:r>
      </w:hyperlink>
      <w:r>
        <w:rPr>
          <w:rFonts w:ascii="times" w:eastAsia="times" w:hAnsi="times" w:cs="times"/>
          <w:b w:val="0"/>
          <w:i w:val="0"/>
          <w:strike w:val="0"/>
          <w:noProof w:val="0"/>
          <w:color w:val="000000"/>
          <w:position w:val="0"/>
          <w:sz w:val="20"/>
          <w:u w:val="none"/>
          <w:vertAlign w:val="baseline"/>
        </w:rPr>
        <w:t>], and making the payments to the owner of the loan or other third parties of</w:t>
      </w:r>
      <w:r>
        <w:rPr>
          <w:rFonts w:ascii="times" w:eastAsia="times" w:hAnsi="times" w:cs="times"/>
          <w:b/>
          <w:i w:val="0"/>
          <w:strike w:val="0"/>
          <w:noProof w:val="0"/>
          <w:color w:val="000000"/>
          <w:position w:val="0"/>
          <w:sz w:val="20"/>
          <w:u w:val="none"/>
          <w:vertAlign w:val="baseline"/>
        </w:rPr>
        <w:t> [*10] </w:t>
      </w:r>
      <w:r>
        <w:rPr>
          <w:rFonts w:ascii="times" w:eastAsia="times" w:hAnsi="times" w:cs="times"/>
          <w:b w:val="0"/>
          <w:i w:val="0"/>
          <w:strike w:val="0"/>
          <w:noProof w:val="0"/>
          <w:color w:val="000000"/>
          <w:position w:val="0"/>
          <w:sz w:val="20"/>
          <w:u w:val="none"/>
          <w:vertAlign w:val="baseline"/>
        </w:rPr>
        <w:t xml:space="preserve"> principal and interest and such other payments with respect to the amounts received from the borrower as may be required pursuant to the terms of the mortgage servicing loan documents or servicing contract. In the case of a home equity conversion mortgage or reverse mortgage as referenced in this section, servicing includes making payments to the borrower.</w:t>
      </w:r>
    </w:p>
    <w:p>
      <w:pPr>
        <w:keepNext w:val="0"/>
        <w:widowControl w:val="0"/>
        <w:spacing w:before="240" w:after="0" w:line="260" w:lineRule="atLeast"/>
        <w:ind w:left="0" w:right="0" w:firstLine="0"/>
        <w:jc w:val="both"/>
      </w:pPr>
      <w:hyperlink r:id="rId18" w:history="1">
        <w:r>
          <w:rPr>
            <w:rFonts w:ascii="times" w:eastAsia="times" w:hAnsi="times" w:cs="times"/>
            <w:b w:val="0"/>
            <w:i w:val="0"/>
            <w:strike w:val="0"/>
            <w:color w:val="0077CC"/>
            <w:sz w:val="20"/>
            <w:u w:val="single"/>
            <w:shd w:val="clear" w:color="auto" w:fill="FFFFFF"/>
            <w:vertAlign w:val="baseline"/>
          </w:rPr>
          <w:t>12 C.F.R. § 1024.2</w:t>
        </w:r>
      </w:hyperlink>
      <w:r>
        <w:rPr>
          <w:rFonts w:ascii="times" w:eastAsia="times" w:hAnsi="times" w:cs="times"/>
          <w:b w:val="0"/>
          <w:i w:val="0"/>
          <w:strike w:val="0"/>
          <w:noProof w:val="0"/>
          <w:color w:val="000000"/>
          <w:position w:val="0"/>
          <w:sz w:val="20"/>
          <w:u w:val="none"/>
          <w:vertAlign w:val="baseline"/>
        </w:rPr>
        <w:t>.</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D.</w:t>
      </w:r>
    </w:p>
    <w:p>
      <w:pPr>
        <w:keepNext w:val="0"/>
        <w:widowControl w:val="0"/>
        <w:spacing w:before="240" w:after="0" w:line="260" w:lineRule="atLeast"/>
        <w:ind w:left="0" w:right="0" w:firstLine="0"/>
        <w:jc w:val="left"/>
      </w:pPr>
      <w:r>
        <w:br/>
      </w:r>
      <w:r>
        <w:rPr>
          <w:rFonts w:ascii="times" w:eastAsia="times" w:hAnsi="times" w:cs="times"/>
          <w:b w:val="0"/>
          <w:i w:val="0"/>
          <w:strike w:val="0"/>
          <w:noProof w:val="0"/>
          <w:color w:val="000000"/>
          <w:position w:val="0"/>
          <w:sz w:val="20"/>
          <w:u w:val="single"/>
          <w:vertAlign w:val="baseline"/>
        </w:rPr>
        <w:t>Appellants' Letters</w:t>
      </w:r>
    </w:p>
    <w:p>
      <w:pPr>
        <w:keepNext w:val="0"/>
        <w:widowControl w:val="0"/>
        <w:spacing w:before="200" w:after="0" w:line="260" w:lineRule="atLeast"/>
        <w:ind w:left="0" w:right="0" w:firstLine="0"/>
        <w:jc w:val="both"/>
      </w:pPr>
      <w:bookmarkStart w:id="53" w:name="Bookmark_para_28"/>
      <w:bookmarkEnd w:id="53"/>
      <w:r>
        <w:rPr>
          <w:rFonts w:ascii="times" w:eastAsia="times" w:hAnsi="times" w:cs="times"/>
          <w:b w:val="0"/>
          <w:i w:val="0"/>
          <w:strike w:val="0"/>
          <w:noProof w:val="0"/>
          <w:color w:val="000000"/>
          <w:position w:val="0"/>
          <w:sz w:val="20"/>
          <w:u w:val="none"/>
          <w:vertAlign w:val="baseline"/>
        </w:rPr>
        <w:t>The district court concluded (1) the Morgan Letter is not specific enough to constitute a QWR; and (2) the Johnson Letter is not a QWR because it "challenges only [Appellee's] stated denial for the loan modification," which "does not implicate servicing of the loan." J.A. 165.</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1.</w:t>
      </w:r>
    </w:p>
    <w:p>
      <w:pPr>
        <w:keepNext w:val="0"/>
        <w:widowControl w:val="0"/>
        <w:spacing w:before="240" w:after="0" w:line="260" w:lineRule="atLeast"/>
        <w:ind w:left="0" w:right="0" w:firstLine="0"/>
        <w:jc w:val="left"/>
      </w:pPr>
      <w:r>
        <w:br/>
      </w:r>
      <w:r>
        <w:rPr>
          <w:rFonts w:ascii="times" w:eastAsia="times" w:hAnsi="times" w:cs="times"/>
          <w:b w:val="0"/>
          <w:i w:val="0"/>
          <w:strike w:val="0"/>
          <w:noProof w:val="0"/>
          <w:color w:val="000000"/>
          <w:position w:val="0"/>
          <w:sz w:val="20"/>
          <w:u w:val="single"/>
          <w:vertAlign w:val="baseline"/>
        </w:rPr>
        <w:t>Is the Morgan Letter a QWR</w:t>
      </w:r>
      <w:r>
        <w:rPr>
          <w:rFonts w:ascii="times" w:eastAsia="times" w:hAnsi="times" w:cs="times"/>
          <w:b w:val="0"/>
          <w:i w:val="0"/>
          <w:strike w:val="0"/>
          <w:noProof w:val="0"/>
          <w:color w:val="000000"/>
          <w:position w:val="0"/>
          <w:sz w:val="20"/>
          <w:u w:val="none"/>
          <w:vertAlign w:val="baseline"/>
        </w:rPr>
        <w:t>?</w:t>
      </w:r>
    </w:p>
    <w:p>
      <w:pPr>
        <w:keepNext w:val="0"/>
        <w:widowControl w:val="0"/>
        <w:spacing w:before="240" w:after="0" w:line="260" w:lineRule="atLeast"/>
        <w:ind w:left="0" w:right="0" w:firstLine="0"/>
        <w:jc w:val="both"/>
      </w:pPr>
      <w:bookmarkStart w:id="54" w:name="Bookmark_para_29"/>
      <w:bookmarkEnd w:id="54"/>
      <w:r>
        <w:rPr>
          <w:rFonts w:ascii="times" w:eastAsia="times" w:hAnsi="times" w:cs="times"/>
          <w:b w:val="0"/>
          <w:i w:val="0"/>
          <w:strike w:val="0"/>
          <w:noProof w:val="0"/>
          <w:color w:val="000000"/>
          <w:position w:val="0"/>
          <w:sz w:val="20"/>
          <w:u w:val="none"/>
          <w:vertAlign w:val="baseline"/>
        </w:rPr>
        <w:t xml:space="preserve">Here, the district court concluded the Morgan Letter is not a QWR. This was error. First, the district court erred by concluding the Morgan Letter is not a QWR and does not "trigger[] RESPA's prohibition on credit reporting" because it does not "dispute specific payments." J.A. 142. </w:t>
      </w:r>
      <w:bookmarkStart w:id="55" w:name="Bookmark_I64W34KS2N1RHP0050000400"/>
      <w:bookmarkEnd w:id="55"/>
      <w:bookmarkStart w:id="56" w:name="Bookmark_LNHNREFclscc9"/>
      <w:bookmarkEnd w:id="56"/>
      <w:r>
        <w:rPr>
          <w:rFonts w:ascii="times" w:eastAsia="times" w:hAnsi="times" w:cs="times"/>
          <w:b w:val="0"/>
          <w:i w:val="0"/>
          <w:strike w:val="0"/>
          <w:noProof w:val="0"/>
          <w:color w:val="000000"/>
          <w:position w:val="0"/>
          <w:sz w:val="20"/>
          <w:u w:val="none"/>
          <w:vertAlign w:val="baseline"/>
        </w:rPr>
        <w:t xml:space="preserve">RESPA does not limit the reporting of overdue payments to disputes of </w:t>
      </w:r>
      <w:r>
        <w:rPr>
          <w:rFonts w:ascii="times" w:eastAsia="times" w:hAnsi="times" w:cs="times"/>
          <w:b w:val="0"/>
          <w:i/>
          <w:strike w:val="0"/>
          <w:noProof w:val="0"/>
          <w:color w:val="000000"/>
          <w:position w:val="0"/>
          <w:sz w:val="20"/>
          <w:u w:val="none"/>
          <w:vertAlign w:val="baseline"/>
        </w:rPr>
        <w:t>specifically identified payments</w:t>
      </w:r>
      <w:r>
        <w:rPr>
          <w:rFonts w:ascii="times" w:eastAsia="times" w:hAnsi="times" w:cs="times"/>
          <w:b w:val="0"/>
          <w:i w:val="0"/>
          <w:strike w:val="0"/>
          <w:noProof w:val="0"/>
          <w:color w:val="000000"/>
          <w:position w:val="0"/>
          <w:sz w:val="20"/>
          <w:u w:val="none"/>
          <w:vertAlign w:val="baseline"/>
        </w:rPr>
        <w:t xml:space="preserve"> but includes any "qualified written request relating to a dispute regarding the borrower's payments." </w:t>
      </w:r>
      <w:hyperlink r:id="rId14" w:history="1">
        <w:r>
          <w:rPr>
            <w:rFonts w:ascii="times" w:eastAsia="times" w:hAnsi="times" w:cs="times"/>
            <w:b w:val="0"/>
            <w:i w:val="0"/>
            <w:strike w:val="0"/>
            <w:noProof w:val="0"/>
            <w:color w:val="0077CC"/>
            <w:position w:val="0"/>
            <w:sz w:val="20"/>
            <w:u w:val="single"/>
            <w:shd w:val="clear" w:color="auto" w:fill="FFFFFF"/>
            <w:vertAlign w:val="baseline"/>
          </w:rPr>
          <w:t>12 U.S.C. § 2605(e)(3)</w:t>
        </w:r>
      </w:hyperlink>
      <w:r>
        <w:rPr>
          <w:rFonts w:ascii="times" w:eastAsia="times" w:hAnsi="times" w:cs="times"/>
          <w:b w:val="0"/>
          <w:i w:val="0"/>
          <w:strike w:val="0"/>
          <w:noProof w:val="0"/>
          <w:color w:val="000000"/>
          <w:position w:val="0"/>
          <w:sz w:val="20"/>
          <w:u w:val="none"/>
          <w:vertAlign w:val="baseline"/>
        </w:rPr>
        <w:t>. We conclude that the Morgan</w:t>
      </w:r>
      <w:r>
        <w:rPr>
          <w:rFonts w:ascii="times" w:eastAsia="times" w:hAnsi="times" w:cs="times"/>
          <w:b/>
          <w:i w:val="0"/>
          <w:strike w:val="0"/>
          <w:noProof w:val="0"/>
          <w:color w:val="000000"/>
          <w:position w:val="0"/>
          <w:sz w:val="20"/>
          <w:u w:val="none"/>
          <w:vertAlign w:val="baseline"/>
        </w:rPr>
        <w:t> [*11] </w:t>
      </w:r>
      <w:r>
        <w:rPr>
          <w:rFonts w:ascii="times" w:eastAsia="times" w:hAnsi="times" w:cs="times"/>
          <w:b w:val="0"/>
          <w:i w:val="0"/>
          <w:strike w:val="0"/>
          <w:noProof w:val="0"/>
          <w:color w:val="000000"/>
          <w:position w:val="0"/>
          <w:sz w:val="20"/>
          <w:u w:val="none"/>
          <w:vertAlign w:val="baseline"/>
        </w:rPr>
        <w:t xml:space="preserve"> Letter is a QWR subject to RESPA, as it is "a written correspondence" that articulates a "statement of reasons" in "sufficient detail" to indicate to Appellee why Morgan believed the credit reporting was in error. </w:t>
      </w:r>
      <w:r>
        <w:rPr>
          <w:rFonts w:ascii="times" w:eastAsia="times" w:hAnsi="times" w:cs="times"/>
          <w:b w:val="0"/>
          <w:i/>
          <w:strike w:val="0"/>
          <w:noProof w:val="0"/>
          <w:color w:val="000000"/>
          <w:position w:val="0"/>
          <w:sz w:val="20"/>
          <w:u w:val="none"/>
          <w:vertAlign w:val="baseline"/>
        </w:rPr>
        <w:t>Id.</w:t>
      </w:r>
      <w:r>
        <w:rPr>
          <w:rFonts w:ascii="times" w:eastAsia="times" w:hAnsi="times" w:cs="times"/>
          <w:b w:val="0"/>
          <w:i w:val="0"/>
          <w:strike w:val="0"/>
          <w:noProof w:val="0"/>
          <w:color w:val="000000"/>
          <w:position w:val="0"/>
          <w:sz w:val="20"/>
          <w:u w:val="none"/>
          <w:vertAlign w:val="baseline"/>
        </w:rPr>
        <w:t xml:space="preserve"> </w:t>
      </w:r>
      <w:hyperlink r:id="rId14" w:history="1">
        <w:r>
          <w:rPr>
            <w:rFonts w:ascii="times" w:eastAsia="times" w:hAnsi="times" w:cs="times"/>
            <w:b w:val="0"/>
            <w:i w:val="0"/>
            <w:strike w:val="0"/>
            <w:noProof w:val="0"/>
            <w:color w:val="0077CC"/>
            <w:position w:val="0"/>
            <w:sz w:val="20"/>
            <w:u w:val="single"/>
            <w:shd w:val="clear" w:color="auto" w:fill="FFFFFF"/>
            <w:vertAlign w:val="baseline"/>
          </w:rPr>
          <w:t>§ 2605(e)(1)(B)</w:t>
        </w:r>
      </w:hyperlink>
      <w:r>
        <w:rPr>
          <w:rFonts w:ascii="times" w:eastAsia="times" w:hAnsi="times" w:cs="times"/>
          <w:b w:val="0"/>
          <w:i w:val="0"/>
          <w:strike w:val="0"/>
          <w:noProof w:val="0"/>
          <w:color w:val="000000"/>
          <w:position w:val="0"/>
          <w:sz w:val="20"/>
          <w:u w:val="none"/>
          <w:vertAlign w:val="baseline"/>
        </w:rPr>
        <w:t xml:space="preserve">; </w:t>
      </w:r>
      <w:r>
        <w:rPr>
          <w:rFonts w:ascii="times" w:eastAsia="times" w:hAnsi="times" w:cs="times"/>
          <w:b w:val="0"/>
          <w:i/>
          <w:strike w:val="0"/>
          <w:noProof w:val="0"/>
          <w:color w:val="000000"/>
          <w:position w:val="0"/>
          <w:sz w:val="20"/>
          <w:u w:val="none"/>
          <w:vertAlign w:val="baseline"/>
        </w:rPr>
        <w:t xml:space="preserve">see also </w:t>
      </w:r>
      <w:bookmarkStart w:id="57" w:name="Bookmark_I64W34KS2N1RHP0040000400"/>
      <w:bookmarkEnd w:id="57"/>
      <w:hyperlink r:id="rId16" w:history="1">
        <w:r>
          <w:rPr>
            <w:rFonts w:ascii="times" w:eastAsia="times" w:hAnsi="times" w:cs="times"/>
            <w:b w:val="0"/>
            <w:i/>
            <w:strike w:val="0"/>
            <w:noProof w:val="0"/>
            <w:color w:val="0077CC"/>
            <w:position w:val="0"/>
            <w:sz w:val="20"/>
            <w:u w:val="single"/>
            <w:shd w:val="clear" w:color="auto" w:fill="FFFFFF"/>
            <w:vertAlign w:val="baseline"/>
          </w:rPr>
          <w:t>Poindexter</w:t>
        </w:r>
      </w:hyperlink>
      <w:hyperlink r:id="rId16" w:history="1">
        <w:r>
          <w:rPr>
            <w:rFonts w:ascii="times" w:eastAsia="times" w:hAnsi="times" w:cs="times"/>
            <w:b w:val="0"/>
            <w:i w:val="0"/>
            <w:strike w:val="0"/>
            <w:noProof w:val="0"/>
            <w:color w:val="0077CC"/>
            <w:position w:val="0"/>
            <w:sz w:val="20"/>
            <w:u w:val="single"/>
            <w:shd w:val="clear" w:color="auto" w:fill="FFFFFF"/>
            <w:vertAlign w:val="baseline"/>
          </w:rPr>
          <w:t>, 792 F.3d at 413</w:t>
        </w:r>
      </w:hyperlink>
      <w:r>
        <w:rPr>
          <w:rFonts w:ascii="times" w:eastAsia="times" w:hAnsi="times" w:cs="times"/>
          <w:b w:val="0"/>
          <w:i w:val="0"/>
          <w:strike w:val="0"/>
          <w:noProof w:val="0"/>
          <w:color w:val="000000"/>
          <w:position w:val="0"/>
          <w:sz w:val="20"/>
          <w:u w:val="none"/>
          <w:vertAlign w:val="baseline"/>
        </w:rPr>
        <w:t>.</w:t>
      </w:r>
    </w:p>
    <w:p>
      <w:pPr>
        <w:keepNext w:val="0"/>
        <w:widowControl w:val="0"/>
        <w:spacing w:before="240" w:after="0" w:line="260" w:lineRule="atLeast"/>
        <w:ind w:left="0" w:right="0" w:firstLine="0"/>
        <w:jc w:val="both"/>
      </w:pPr>
      <w:bookmarkStart w:id="58" w:name="Bookmark_para_30"/>
      <w:bookmarkEnd w:id="58"/>
      <w:r>
        <w:rPr>
          <w:rFonts w:ascii="times" w:eastAsia="times" w:hAnsi="times" w:cs="times"/>
          <w:b w:val="0"/>
          <w:i w:val="0"/>
          <w:strike w:val="0"/>
          <w:noProof w:val="0"/>
          <w:color w:val="000000"/>
          <w:position w:val="0"/>
          <w:sz w:val="20"/>
          <w:u w:val="none"/>
          <w:vertAlign w:val="baseline"/>
        </w:rPr>
        <w:t xml:space="preserve">Specifically, the Morgan Letter includes the name, account number, and other information that would "enable[] the servicer to identify" the account, and it includes "reasons for the belief of the borrower, to the extent applicable, that the account is in error." </w:t>
      </w:r>
      <w:hyperlink r:id="rId14" w:history="1">
        <w:r>
          <w:rPr>
            <w:rFonts w:ascii="times" w:eastAsia="times" w:hAnsi="times" w:cs="times"/>
            <w:b w:val="0"/>
            <w:i w:val="0"/>
            <w:strike w:val="0"/>
            <w:noProof w:val="0"/>
            <w:color w:val="0077CC"/>
            <w:position w:val="0"/>
            <w:sz w:val="20"/>
            <w:u w:val="single"/>
            <w:shd w:val="clear" w:color="auto" w:fill="FFFFFF"/>
            <w:vertAlign w:val="baseline"/>
          </w:rPr>
          <w:t>12 U.S.C. § 2605(e)(1)(B)</w:t>
        </w:r>
      </w:hyperlink>
      <w:r>
        <w:rPr>
          <w:rFonts w:ascii="times" w:eastAsia="times" w:hAnsi="times" w:cs="times"/>
          <w:b w:val="0"/>
          <w:i w:val="0"/>
          <w:strike w:val="0"/>
          <w:noProof w:val="0"/>
          <w:color w:val="000000"/>
          <w:position w:val="0"/>
          <w:sz w:val="20"/>
          <w:u w:val="none"/>
          <w:vertAlign w:val="baseline"/>
        </w:rPr>
        <w:t>. Morgan described the conflicting balance information he had received from his employer's reports, showing that he "owe[d] [Appellee] $16,806," and Appellee's representative, who allegedly identified the balance as "$30,656.89" in addition to "$630.00 on [his] record" for "late charges." J.A. 82.</w:t>
      </w:r>
    </w:p>
    <w:p>
      <w:pPr>
        <w:keepNext w:val="0"/>
        <w:widowControl w:val="0"/>
        <w:spacing w:before="240" w:after="0" w:line="260" w:lineRule="atLeast"/>
        <w:ind w:left="0" w:right="0" w:firstLine="0"/>
        <w:jc w:val="both"/>
      </w:pPr>
      <w:bookmarkStart w:id="59" w:name="Bookmark_para_31"/>
      <w:bookmarkEnd w:id="59"/>
      <w:r>
        <w:rPr>
          <w:rFonts w:ascii="times" w:eastAsia="times" w:hAnsi="times" w:cs="times"/>
          <w:b w:val="0"/>
          <w:i w:val="0"/>
          <w:strike w:val="0"/>
          <w:noProof w:val="0"/>
          <w:color w:val="000000"/>
          <w:position w:val="0"/>
          <w:sz w:val="20"/>
          <w:u w:val="none"/>
          <w:vertAlign w:val="baseline"/>
        </w:rPr>
        <w:t xml:space="preserve">Further, the district court erred by concluding the Morgan Letter is not a QWR due to a "lack of specificity." J.A. 164. </w:t>
      </w:r>
      <w:bookmarkStart w:id="60" w:name="Bookmark_I64W34KS2HM5RN0020000400"/>
      <w:bookmarkEnd w:id="60"/>
      <w:r>
        <w:rPr>
          <w:rFonts w:ascii="times" w:eastAsia="times" w:hAnsi="times" w:cs="times"/>
          <w:b w:val="0"/>
          <w:i w:val="0"/>
          <w:strike w:val="0"/>
          <w:noProof w:val="0"/>
          <w:color w:val="000000"/>
          <w:position w:val="0"/>
          <w:sz w:val="20"/>
          <w:u w:val="none"/>
          <w:vertAlign w:val="baseline"/>
        </w:rPr>
        <w:t>The Morgan Letter is not a general or vague complaint. To the contrary, as noted, the Morgan Letter includes an account number, as well as a reference to an agent and that agent's ID number related to a specific phone call Morgan had with a representative of Appellee to discuss the conflicting</w:t>
      </w:r>
      <w:r>
        <w:rPr>
          <w:rFonts w:ascii="times" w:eastAsia="times" w:hAnsi="times" w:cs="times"/>
          <w:b/>
          <w:i w:val="0"/>
          <w:strike w:val="0"/>
          <w:noProof w:val="0"/>
          <w:color w:val="000000"/>
          <w:position w:val="0"/>
          <w:sz w:val="20"/>
          <w:u w:val="none"/>
          <w:vertAlign w:val="baseline"/>
        </w:rPr>
        <w:t> [*12] </w:t>
      </w:r>
      <w:r>
        <w:rPr>
          <w:rFonts w:ascii="times" w:eastAsia="times" w:hAnsi="times" w:cs="times"/>
          <w:b w:val="0"/>
          <w:i w:val="0"/>
          <w:strike w:val="0"/>
          <w:noProof w:val="0"/>
          <w:color w:val="000000"/>
          <w:position w:val="0"/>
          <w:sz w:val="20"/>
          <w:u w:val="none"/>
          <w:vertAlign w:val="baseline"/>
        </w:rPr>
        <w:t xml:space="preserve"> balance information. Although oral communications are not, by themselves, sufficient to create a QWR, </w:t>
      </w:r>
      <w:r>
        <w:rPr>
          <w:rFonts w:ascii="times" w:eastAsia="times" w:hAnsi="times" w:cs="times"/>
          <w:b w:val="0"/>
          <w:i/>
          <w:strike w:val="0"/>
          <w:noProof w:val="0"/>
          <w:color w:val="000000"/>
          <w:position w:val="0"/>
          <w:sz w:val="20"/>
          <w:u w:val="none"/>
          <w:vertAlign w:val="baseline"/>
        </w:rPr>
        <w:t xml:space="preserve">see </w:t>
      </w:r>
      <w:bookmarkStart w:id="61" w:name="Bookmark_I64W34KS2HM5RN0010000400"/>
      <w:bookmarkEnd w:id="61"/>
      <w:hyperlink r:id="rId16" w:history="1">
        <w:r>
          <w:rPr>
            <w:rFonts w:ascii="times" w:eastAsia="times" w:hAnsi="times" w:cs="times"/>
            <w:b w:val="0"/>
            <w:i/>
            <w:strike w:val="0"/>
            <w:noProof w:val="0"/>
            <w:color w:val="0077CC"/>
            <w:position w:val="0"/>
            <w:sz w:val="20"/>
            <w:u w:val="single"/>
            <w:shd w:val="clear" w:color="auto" w:fill="FFFFFF"/>
            <w:vertAlign w:val="baseline"/>
          </w:rPr>
          <w:t>Poindexter</w:t>
        </w:r>
      </w:hyperlink>
      <w:hyperlink r:id="rId16" w:history="1">
        <w:r>
          <w:rPr>
            <w:rFonts w:ascii="times" w:eastAsia="times" w:hAnsi="times" w:cs="times"/>
            <w:b w:val="0"/>
            <w:i w:val="0"/>
            <w:strike w:val="0"/>
            <w:noProof w:val="0"/>
            <w:color w:val="0077CC"/>
            <w:position w:val="0"/>
            <w:sz w:val="20"/>
            <w:u w:val="single"/>
            <w:shd w:val="clear" w:color="auto" w:fill="FFFFFF"/>
            <w:vertAlign w:val="baseline"/>
          </w:rPr>
          <w:t>, 792 F.3d at 413</w:t>
        </w:r>
      </w:hyperlink>
      <w:r>
        <w:rPr>
          <w:rFonts w:ascii="times" w:eastAsia="times" w:hAnsi="times" w:cs="times"/>
          <w:b w:val="0"/>
          <w:i w:val="0"/>
          <w:strike w:val="0"/>
          <w:noProof w:val="0"/>
          <w:color w:val="000000"/>
          <w:position w:val="0"/>
          <w:sz w:val="20"/>
          <w:u w:val="none"/>
          <w:vertAlign w:val="baseline"/>
        </w:rPr>
        <w:t xml:space="preserve">, the reference to an oral communication here provided specific information that could have "otherwise enable[d] the servicer to identify" the account at issue. </w:t>
      </w:r>
      <w:hyperlink r:id="rId14" w:history="1">
        <w:r>
          <w:rPr>
            <w:rFonts w:ascii="times" w:eastAsia="times" w:hAnsi="times" w:cs="times"/>
            <w:b w:val="0"/>
            <w:i w:val="0"/>
            <w:strike w:val="0"/>
            <w:noProof w:val="0"/>
            <w:color w:val="0077CC"/>
            <w:position w:val="0"/>
            <w:sz w:val="20"/>
            <w:u w:val="single"/>
            <w:shd w:val="clear" w:color="auto" w:fill="FFFFFF"/>
            <w:vertAlign w:val="baseline"/>
          </w:rPr>
          <w:t>12 U.S.C. § 2605(e)(1)(B)</w:t>
        </w:r>
      </w:hyperlink>
      <w:r>
        <w:rPr>
          <w:rFonts w:ascii="times" w:eastAsia="times" w:hAnsi="times" w:cs="times"/>
          <w:b w:val="0"/>
          <w:i w:val="0"/>
          <w:strike w:val="0"/>
          <w:noProof w:val="0"/>
          <w:color w:val="000000"/>
          <w:position w:val="0"/>
          <w:sz w:val="20"/>
          <w:u w:val="none"/>
          <w:vertAlign w:val="baseline"/>
        </w:rPr>
        <w:t>. More importantly, the Morgan Letter does not rely solely on this alleged phone call with Appellee's representative as the basis for the description of the problem. The Morgan Letter also details conflicting balance information received from Appellee and the credit reporting service. Although the Morgan Letter does not state which amount, if either, is the correct amount, this type of discrepancy is sufficient to indicate a dispute exists as to the servicing of loan. Morgan's request for Appellee to "correct [their] records" clearly stems from the confusion presented about his account balance and his belief that Appellee's "office is reporting the wrong amount to the credit agency." J.A. 82.</w:t>
      </w:r>
    </w:p>
    <w:p>
      <w:pPr>
        <w:keepNext w:val="0"/>
        <w:widowControl w:val="0"/>
        <w:spacing w:before="200" w:after="0" w:line="260" w:lineRule="atLeast"/>
        <w:ind w:left="0" w:right="0" w:firstLine="0"/>
        <w:jc w:val="both"/>
      </w:pPr>
      <w:bookmarkStart w:id="62" w:name="Bookmark_para_32"/>
      <w:bookmarkEnd w:id="62"/>
      <w:r>
        <w:rPr>
          <w:rFonts w:ascii="times" w:eastAsia="times" w:hAnsi="times" w:cs="times"/>
          <w:b w:val="0"/>
          <w:i w:val="0"/>
          <w:strike w:val="0"/>
          <w:noProof w:val="0"/>
          <w:color w:val="000000"/>
          <w:position w:val="0"/>
          <w:sz w:val="20"/>
          <w:u w:val="none"/>
          <w:vertAlign w:val="baseline"/>
        </w:rPr>
        <w:t>Therefore, the facts taken in the light most favorable to Morgan are sufficient at this stage to survive a motion to dismiss. Accordingly, we reverse the district court's dismissal of Morgan's claim and those of the related putative</w:t>
      </w:r>
      <w:r>
        <w:rPr>
          <w:rFonts w:ascii="times" w:eastAsia="times" w:hAnsi="times" w:cs="times"/>
          <w:b/>
          <w:i w:val="0"/>
          <w:strike w:val="0"/>
          <w:noProof w:val="0"/>
          <w:color w:val="000000"/>
          <w:position w:val="0"/>
          <w:sz w:val="20"/>
          <w:u w:val="none"/>
          <w:vertAlign w:val="baseline"/>
        </w:rPr>
        <w:t> [*13] </w:t>
      </w:r>
      <w:r>
        <w:rPr>
          <w:rFonts w:ascii="times" w:eastAsia="times" w:hAnsi="times" w:cs="times"/>
          <w:b w:val="0"/>
          <w:i w:val="0"/>
          <w:strike w:val="0"/>
          <w:noProof w:val="0"/>
          <w:color w:val="000000"/>
          <w:position w:val="0"/>
          <w:sz w:val="20"/>
          <w:u w:val="none"/>
          <w:vertAlign w:val="baseline"/>
        </w:rPr>
        <w:t xml:space="preserve"> class and remand for further proceedings.</w:t>
      </w:r>
    </w:p>
    <w:p>
      <w:pPr>
        <w:keepNext w:val="0"/>
        <w:widowControl w:val="0"/>
        <w:spacing w:before="120" w:after="0" w:line="260" w:lineRule="atLeast"/>
        <w:ind w:left="0" w:right="0" w:firstLine="0"/>
        <w:jc w:val="left"/>
      </w:pPr>
      <w:r>
        <w:rPr>
          <w:rFonts w:ascii="times" w:eastAsia="times" w:hAnsi="times" w:cs="times"/>
          <w:b w:val="0"/>
          <w:i w:val="0"/>
          <w:strike w:val="0"/>
          <w:noProof w:val="0"/>
          <w:color w:val="000000"/>
          <w:position w:val="0"/>
          <w:sz w:val="20"/>
          <w:u w:val="none"/>
          <w:vertAlign w:val="baseline"/>
        </w:rPr>
        <w:t>2.</w:t>
      </w:r>
    </w:p>
    <w:p>
      <w:pPr>
        <w:keepNext w:val="0"/>
        <w:widowControl w:val="0"/>
        <w:spacing w:before="240" w:after="0" w:line="260" w:lineRule="atLeast"/>
        <w:ind w:left="0" w:right="0" w:firstLine="0"/>
        <w:jc w:val="left"/>
      </w:pPr>
      <w:r>
        <w:br/>
      </w:r>
      <w:r>
        <w:rPr>
          <w:rFonts w:ascii="times" w:eastAsia="times" w:hAnsi="times" w:cs="times"/>
          <w:b w:val="0"/>
          <w:i w:val="0"/>
          <w:strike w:val="0"/>
          <w:noProof w:val="0"/>
          <w:color w:val="000000"/>
          <w:position w:val="0"/>
          <w:sz w:val="20"/>
          <w:u w:val="single"/>
          <w:vertAlign w:val="baseline"/>
        </w:rPr>
        <w:t>Is the Johnson Letter a QWR</w:t>
      </w:r>
      <w:r>
        <w:rPr>
          <w:rFonts w:ascii="times" w:eastAsia="times" w:hAnsi="times" w:cs="times"/>
          <w:b w:val="0"/>
          <w:i w:val="0"/>
          <w:strike w:val="0"/>
          <w:noProof w:val="0"/>
          <w:color w:val="000000"/>
          <w:position w:val="0"/>
          <w:sz w:val="20"/>
          <w:u w:val="none"/>
          <w:vertAlign w:val="baseline"/>
        </w:rPr>
        <w:t>?</w:t>
      </w:r>
    </w:p>
    <w:p>
      <w:pPr>
        <w:keepNext w:val="0"/>
        <w:widowControl w:val="0"/>
        <w:spacing w:before="200" w:after="0" w:line="260" w:lineRule="atLeast"/>
        <w:ind w:left="0" w:right="0" w:firstLine="0"/>
        <w:jc w:val="both"/>
      </w:pPr>
      <w:bookmarkStart w:id="63" w:name="Bookmark_para_33"/>
      <w:bookmarkEnd w:id="63"/>
      <w:r>
        <w:rPr>
          <w:rFonts w:ascii="times" w:eastAsia="times" w:hAnsi="times" w:cs="times"/>
          <w:b w:val="0"/>
          <w:i w:val="0"/>
          <w:strike w:val="0"/>
          <w:noProof w:val="0"/>
          <w:color w:val="000000"/>
          <w:position w:val="0"/>
          <w:sz w:val="20"/>
          <w:u w:val="none"/>
          <w:vertAlign w:val="baseline"/>
        </w:rPr>
        <w:t>According to Appellee, the Johnson Letter is not a QWR because it is merely contesting Appellee's denial of Johnson's loan modification. The district court agreed with Appellee and dismissed the complaint relative to Johnson's claim. The key question in this case with respect to the Johnson Letter is whether "servicing" for the purpose of RESPA includes disputes about potential loan modifications.</w:t>
      </w:r>
    </w:p>
    <w:p>
      <w:pPr>
        <w:keepNext w:val="0"/>
        <w:widowControl w:val="0"/>
        <w:spacing w:before="240" w:after="0" w:line="260" w:lineRule="atLeast"/>
        <w:ind w:left="0" w:right="0" w:firstLine="0"/>
        <w:jc w:val="both"/>
      </w:pPr>
      <w:bookmarkStart w:id="64" w:name="Bookmark_para_34"/>
      <w:bookmarkEnd w:id="64"/>
      <w:bookmarkStart w:id="65" w:name="Bookmark_I64W34KS2HM5RN0040000400"/>
      <w:bookmarkEnd w:id="65"/>
      <w:bookmarkStart w:id="66" w:name="Bookmark_I64W34KS28T4T20010000400"/>
      <w:bookmarkEnd w:id="66"/>
      <w:bookmarkStart w:id="67" w:name="Bookmark_I64W34KS28T4T20030000400"/>
      <w:bookmarkEnd w:id="67"/>
      <w:r>
        <w:rPr>
          <w:rFonts w:ascii="times" w:eastAsia="times" w:hAnsi="times" w:cs="times"/>
          <w:b w:val="0"/>
          <w:i w:val="0"/>
          <w:strike w:val="0"/>
          <w:noProof w:val="0"/>
          <w:color w:val="000000"/>
          <w:position w:val="0"/>
          <w:sz w:val="20"/>
          <w:u w:val="none"/>
          <w:vertAlign w:val="baseline"/>
        </w:rPr>
        <w:t xml:space="preserve">Although we have not directly addressed the issue of whether a modification, or potential modification, of a contract constitutes servicing protected by RESPA, we have previously found the Ninth Circuit's treatment of the issue in </w:t>
      </w:r>
      <w:bookmarkStart w:id="68" w:name="Bookmark_I64W34KS2HM5RN0030000400"/>
      <w:bookmarkEnd w:id="68"/>
      <w:hyperlink r:id="rId19" w:history="1">
        <w:r>
          <w:rPr>
            <w:rFonts w:ascii="times" w:eastAsia="times" w:hAnsi="times" w:cs="times"/>
            <w:b w:val="0"/>
            <w:i/>
            <w:strike w:val="0"/>
            <w:noProof w:val="0"/>
            <w:color w:val="0077CC"/>
            <w:position w:val="0"/>
            <w:sz w:val="20"/>
            <w:u w:val="single"/>
            <w:shd w:val="clear" w:color="auto" w:fill="FFFFFF"/>
            <w:vertAlign w:val="baseline"/>
          </w:rPr>
          <w:t>Medrano v. Flagstar Bank, FSB</w:t>
        </w:r>
      </w:hyperlink>
      <w:hyperlink r:id="rId19" w:history="1">
        <w:r>
          <w:rPr>
            <w:rFonts w:ascii="times" w:eastAsia="times" w:hAnsi="times" w:cs="times"/>
            <w:b w:val="0"/>
            <w:i w:val="0"/>
            <w:strike w:val="0"/>
            <w:noProof w:val="0"/>
            <w:color w:val="0077CC"/>
            <w:position w:val="0"/>
            <w:sz w:val="20"/>
            <w:u w:val="single"/>
            <w:shd w:val="clear" w:color="auto" w:fill="FFFFFF"/>
            <w:vertAlign w:val="baseline"/>
          </w:rPr>
          <w:t>, 704 F.3d 661 (9th Cir. 2012)</w:t>
        </w:r>
      </w:hyperlink>
      <w:r>
        <w:rPr>
          <w:rFonts w:ascii="times" w:eastAsia="times" w:hAnsi="times" w:cs="times"/>
          <w:b w:val="0"/>
          <w:i w:val="0"/>
          <w:strike w:val="0"/>
          <w:noProof w:val="0"/>
          <w:color w:val="000000"/>
          <w:position w:val="0"/>
          <w:sz w:val="20"/>
          <w:u w:val="none"/>
          <w:vertAlign w:val="baseline"/>
        </w:rPr>
        <w:t xml:space="preserve">, to be instructive. </w:t>
      </w:r>
      <w:bookmarkStart w:id="69" w:name="Bookmark_I64W34KS2HM5RN0050000400"/>
      <w:bookmarkEnd w:id="69"/>
      <w:hyperlink r:id="rId16" w:history="1">
        <w:r>
          <w:rPr>
            <w:rFonts w:ascii="times" w:eastAsia="times" w:hAnsi="times" w:cs="times"/>
            <w:b w:val="0"/>
            <w:i/>
            <w:strike w:val="0"/>
            <w:noProof w:val="0"/>
            <w:color w:val="0077CC"/>
            <w:position w:val="0"/>
            <w:sz w:val="20"/>
            <w:u w:val="single"/>
            <w:shd w:val="clear" w:color="auto" w:fill="FFFFFF"/>
            <w:vertAlign w:val="baseline"/>
          </w:rPr>
          <w:t>Poindexter</w:t>
        </w:r>
      </w:hyperlink>
      <w:hyperlink r:id="rId16" w:history="1">
        <w:r>
          <w:rPr>
            <w:rFonts w:ascii="times" w:eastAsia="times" w:hAnsi="times" w:cs="times"/>
            <w:b w:val="0"/>
            <w:i w:val="0"/>
            <w:strike w:val="0"/>
            <w:noProof w:val="0"/>
            <w:color w:val="0077CC"/>
            <w:position w:val="0"/>
            <w:sz w:val="20"/>
            <w:u w:val="single"/>
            <w:shd w:val="clear" w:color="auto" w:fill="FFFFFF"/>
            <w:vertAlign w:val="baseline"/>
          </w:rPr>
          <w:t>, 792 F.3d at 413</w:t>
        </w:r>
      </w:hyperlink>
      <w:r>
        <w:rPr>
          <w:rFonts w:ascii="times" w:eastAsia="times" w:hAnsi="times" w:cs="times"/>
          <w:b w:val="0"/>
          <w:i w:val="0"/>
          <w:strike w:val="0"/>
          <w:noProof w:val="0"/>
          <w:color w:val="000000"/>
          <w:position w:val="0"/>
          <w:sz w:val="20"/>
          <w:u w:val="none"/>
          <w:vertAlign w:val="baseline"/>
        </w:rPr>
        <w:t xml:space="preserve">. In </w:t>
      </w:r>
      <w:bookmarkStart w:id="70" w:name="Bookmark_I64W34KS28T4T20030000400_2"/>
      <w:bookmarkEnd w:id="70"/>
      <w:bookmarkStart w:id="71" w:name="Bookmark_I64W34KS28T4T20010000400_2"/>
      <w:bookmarkEnd w:id="71"/>
      <w:bookmarkStart w:id="72" w:name="Bookmark_I64W34KS2HM5RN0040000400_2"/>
      <w:bookmarkEnd w:id="72"/>
      <w:bookmarkStart w:id="73" w:name="Bookmark_I64W34KS28T4T20020000400"/>
      <w:bookmarkEnd w:id="73"/>
      <w:hyperlink r:id="rId19" w:history="1">
        <w:r>
          <w:rPr>
            <w:rFonts w:ascii="times" w:eastAsia="times" w:hAnsi="times" w:cs="times"/>
            <w:b w:val="0"/>
            <w:i w:val="0"/>
            <w:strike w:val="0"/>
            <w:noProof w:val="0"/>
            <w:color w:val="0077CC"/>
            <w:position w:val="0"/>
            <w:sz w:val="20"/>
            <w:u w:val="single"/>
            <w:shd w:val="clear" w:color="auto" w:fill="FFFFFF"/>
            <w:vertAlign w:val="baseline"/>
          </w:rPr>
          <w:t>Medrano</w:t>
        </w:r>
      </w:hyperlink>
      <w:bookmarkStart w:id="74" w:name="Bookmark_I64W34KS2N1RHV0020000400"/>
      <w:bookmarkEnd w:id="74"/>
      <w:r>
        <w:rPr>
          <w:rFonts w:ascii="times" w:eastAsia="times" w:hAnsi="times" w:cs="times"/>
          <w:b w:val="0"/>
          <w:i w:val="0"/>
          <w:strike w:val="0"/>
          <w:noProof w:val="0"/>
          <w:color w:val="000000"/>
          <w:position w:val="0"/>
          <w:sz w:val="20"/>
          <w:u w:val="none"/>
          <w:vertAlign w:val="baseline"/>
        </w:rPr>
        <w:t xml:space="preserve">, the Ninth Circuit concluded RESPA "distinguishes between letters that relate to borrowers' disputes regarding servicing, on the one hand, and those regarding the borrower's contractual relationship with the lender, on the other." </w:t>
      </w:r>
      <w:bookmarkStart w:id="75" w:name="Bookmark_I64W34KS28T4T20040000400"/>
      <w:bookmarkEnd w:id="75"/>
      <w:hyperlink r:id="rId19" w:history="1">
        <w:r>
          <w:rPr>
            <w:rFonts w:ascii="times" w:eastAsia="times" w:hAnsi="times" w:cs="times"/>
            <w:b w:val="0"/>
            <w:i w:val="0"/>
            <w:strike w:val="0"/>
            <w:noProof w:val="0"/>
            <w:color w:val="0077CC"/>
            <w:position w:val="0"/>
            <w:sz w:val="20"/>
            <w:u w:val="single"/>
            <w:shd w:val="clear" w:color="auto" w:fill="FFFFFF"/>
            <w:vertAlign w:val="baseline"/>
          </w:rPr>
          <w:t>704 F.3d at 667</w:t>
        </w:r>
      </w:hyperlink>
      <w:r>
        <w:rPr>
          <w:rFonts w:ascii="times" w:eastAsia="times" w:hAnsi="times" w:cs="times"/>
          <w:b w:val="0"/>
          <w:i w:val="0"/>
          <w:strike w:val="0"/>
          <w:noProof w:val="0"/>
          <w:color w:val="000000"/>
          <w:position w:val="0"/>
          <w:sz w:val="20"/>
          <w:u w:val="none"/>
          <w:vertAlign w:val="baseline"/>
        </w:rPr>
        <w:t xml:space="preserve">. Consequently, the Ninth Circuit held that "challenges to the terms of the loan and mortgage documents" are not disputes regarding servicing under RESPA. </w:t>
      </w:r>
      <w:r>
        <w:rPr>
          <w:rFonts w:ascii="times" w:eastAsia="times" w:hAnsi="times" w:cs="times"/>
          <w:b w:val="0"/>
          <w:i/>
          <w:strike w:val="0"/>
          <w:noProof w:val="0"/>
          <w:color w:val="000000"/>
          <w:position w:val="0"/>
          <w:sz w:val="20"/>
          <w:u w:val="none"/>
          <w:vertAlign w:val="baseline"/>
        </w:rPr>
        <w:t>Id.</w:t>
      </w:r>
      <w:r>
        <w:rPr>
          <w:rFonts w:ascii="times" w:eastAsia="times" w:hAnsi="times" w:cs="times"/>
          <w:b w:val="0"/>
          <w:i w:val="0"/>
          <w:strike w:val="0"/>
          <w:noProof w:val="0"/>
          <w:color w:val="000000"/>
          <w:position w:val="0"/>
          <w:sz w:val="20"/>
          <w:u w:val="none"/>
          <w:vertAlign w:val="baseline"/>
        </w:rPr>
        <w:t xml:space="preserve"> Similarly, in </w:t>
      </w:r>
      <w:bookmarkStart w:id="76" w:name="Bookmark_I64W34KS2N1RHV0020000400_2"/>
      <w:bookmarkEnd w:id="76"/>
      <w:bookmarkStart w:id="77" w:name="Bookmark_I64W34KS2N1RHV0010000400"/>
      <w:bookmarkEnd w:id="77"/>
      <w:hyperlink r:id="rId16" w:history="1">
        <w:r>
          <w:rPr>
            <w:rFonts w:ascii="times" w:eastAsia="times" w:hAnsi="times" w:cs="times"/>
            <w:b w:val="0"/>
            <w:i w:val="0"/>
            <w:strike w:val="0"/>
            <w:noProof w:val="0"/>
            <w:color w:val="0077CC"/>
            <w:position w:val="0"/>
            <w:sz w:val="20"/>
            <w:u w:val="single"/>
            <w:shd w:val="clear" w:color="auto" w:fill="FFFFFF"/>
            <w:vertAlign w:val="baseline"/>
          </w:rPr>
          <w:t>Poindexter v. Mercedes-Benz Credit Corp.</w:t>
        </w:r>
      </w:hyperlink>
      <w:r>
        <w:rPr>
          <w:rFonts w:ascii="times" w:eastAsia="times" w:hAnsi="times" w:cs="times"/>
          <w:b w:val="0"/>
          <w:i w:val="0"/>
          <w:strike w:val="0"/>
          <w:noProof w:val="0"/>
          <w:color w:val="000000"/>
          <w:position w:val="0"/>
          <w:sz w:val="20"/>
          <w:u w:val="none"/>
          <w:vertAlign w:val="baseline"/>
        </w:rPr>
        <w:t>, we emphasized that "servicing" is limited to "the receiving or making</w:t>
      </w:r>
      <w:r>
        <w:rPr>
          <w:rFonts w:ascii="times" w:eastAsia="times" w:hAnsi="times" w:cs="times"/>
          <w:b/>
          <w:i w:val="0"/>
          <w:strike w:val="0"/>
          <w:noProof w:val="0"/>
          <w:color w:val="000000"/>
          <w:position w:val="0"/>
          <w:sz w:val="20"/>
          <w:u w:val="none"/>
          <w:vertAlign w:val="baseline"/>
        </w:rPr>
        <w:t> [*14] </w:t>
      </w:r>
      <w:r>
        <w:rPr>
          <w:rFonts w:ascii="times" w:eastAsia="times" w:hAnsi="times" w:cs="times"/>
          <w:b w:val="0"/>
          <w:i w:val="0"/>
          <w:strike w:val="0"/>
          <w:noProof w:val="0"/>
          <w:color w:val="000000"/>
          <w:position w:val="0"/>
          <w:sz w:val="20"/>
          <w:u w:val="none"/>
          <w:vertAlign w:val="baseline"/>
        </w:rPr>
        <w:t xml:space="preserve"> of loan payments" and is not related to "the terms of the loan and mortgage documents." </w:t>
      </w:r>
      <w:bookmarkStart w:id="78" w:name="Bookmark_I64W34KS2N1RHV0030000400"/>
      <w:bookmarkEnd w:id="78"/>
      <w:hyperlink r:id="rId16" w:history="1">
        <w:r>
          <w:rPr>
            <w:rFonts w:ascii="times" w:eastAsia="times" w:hAnsi="times" w:cs="times"/>
            <w:b w:val="0"/>
            <w:i w:val="0"/>
            <w:strike w:val="0"/>
            <w:noProof w:val="0"/>
            <w:color w:val="0077CC"/>
            <w:position w:val="0"/>
            <w:sz w:val="20"/>
            <w:u w:val="single"/>
            <w:shd w:val="clear" w:color="auto" w:fill="FFFFFF"/>
            <w:vertAlign w:val="baseline"/>
          </w:rPr>
          <w:t>792 F.3d at 413</w:t>
        </w:r>
      </w:hyperlink>
      <w:r>
        <w:rPr>
          <w:rFonts w:ascii="times" w:eastAsia="times" w:hAnsi="times" w:cs="times"/>
          <w:b w:val="0"/>
          <w:i w:val="0"/>
          <w:strike w:val="0"/>
          <w:noProof w:val="0"/>
          <w:color w:val="000000"/>
          <w:position w:val="0"/>
          <w:sz w:val="20"/>
          <w:u w:val="none"/>
          <w:vertAlign w:val="baseline"/>
        </w:rPr>
        <w:t xml:space="preserve"> (citing </w:t>
      </w:r>
      <w:hyperlink r:id="rId14" w:history="1">
        <w:r>
          <w:rPr>
            <w:rFonts w:ascii="times" w:eastAsia="times" w:hAnsi="times" w:cs="times"/>
            <w:b w:val="0"/>
            <w:i w:val="0"/>
            <w:strike w:val="0"/>
            <w:noProof w:val="0"/>
            <w:color w:val="0077CC"/>
            <w:position w:val="0"/>
            <w:sz w:val="20"/>
            <w:u w:val="single"/>
            <w:shd w:val="clear" w:color="auto" w:fill="FFFFFF"/>
            <w:vertAlign w:val="baseline"/>
          </w:rPr>
          <w:t>12 U.S.C. § 2605(i)(3)</w:t>
        </w:r>
      </w:hyperlink>
      <w:r>
        <w:rPr>
          <w:rFonts w:ascii="times" w:eastAsia="times" w:hAnsi="times" w:cs="times"/>
          <w:b w:val="0"/>
          <w:i w:val="0"/>
          <w:strike w:val="0"/>
          <w:noProof w:val="0"/>
          <w:color w:val="000000"/>
          <w:position w:val="0"/>
          <w:sz w:val="20"/>
          <w:u w:val="none"/>
          <w:vertAlign w:val="baseline"/>
        </w:rPr>
        <w:t xml:space="preserve">). </w:t>
      </w:r>
      <w:bookmarkStart w:id="79" w:name="Bookmark_LNHNREFclscc10"/>
      <w:bookmarkEnd w:id="79"/>
      <w:r>
        <w:rPr>
          <w:rFonts w:ascii="times" w:eastAsia="times" w:hAnsi="times" w:cs="times"/>
          <w:b w:val="0"/>
          <w:i w:val="0"/>
          <w:strike w:val="0"/>
          <w:noProof w:val="0"/>
          <w:color w:val="000000"/>
          <w:position w:val="0"/>
          <w:sz w:val="20"/>
          <w:u w:val="none"/>
          <w:vertAlign w:val="baseline"/>
        </w:rPr>
        <w:t>Thus, correspondence limited to the dispute of contractual issues that do not relate to the servicing of the loan, such as loan modification applications, do not qualify as QWRs.</w:t>
      </w:r>
    </w:p>
    <w:p>
      <w:pPr>
        <w:keepNext w:val="0"/>
        <w:widowControl w:val="0"/>
        <w:spacing w:before="240" w:after="0" w:line="260" w:lineRule="atLeast"/>
        <w:ind w:left="0" w:right="0" w:firstLine="0"/>
        <w:jc w:val="both"/>
      </w:pPr>
      <w:bookmarkStart w:id="80" w:name="Bookmark_para_35"/>
      <w:bookmarkEnd w:id="80"/>
      <w:r>
        <w:rPr>
          <w:rFonts w:ascii="times" w:eastAsia="times" w:hAnsi="times" w:cs="times"/>
          <w:b w:val="0"/>
          <w:i w:val="0"/>
          <w:strike w:val="0"/>
          <w:noProof w:val="0"/>
          <w:color w:val="000000"/>
          <w:position w:val="0"/>
          <w:sz w:val="20"/>
          <w:u w:val="none"/>
          <w:vertAlign w:val="baseline"/>
        </w:rPr>
        <w:t xml:space="preserve">A loan modification is a contractual issue, not a servicing matter. The Johnson Letter does not relate to any dispute of Johnson's payments, or assert an error related to the servicing of the loan. </w:t>
      </w:r>
      <w:r>
        <w:rPr>
          <w:rFonts w:ascii="times" w:eastAsia="times" w:hAnsi="times" w:cs="times"/>
          <w:b w:val="0"/>
          <w:i/>
          <w:strike w:val="0"/>
          <w:noProof w:val="0"/>
          <w:color w:val="000000"/>
          <w:position w:val="0"/>
          <w:sz w:val="20"/>
          <w:u w:val="none"/>
          <w:vertAlign w:val="baseline"/>
        </w:rPr>
        <w:t>See</w:t>
      </w:r>
      <w:r>
        <w:rPr>
          <w:rFonts w:ascii="times" w:eastAsia="times" w:hAnsi="times" w:cs="times"/>
          <w:b w:val="0"/>
          <w:i w:val="0"/>
          <w:strike w:val="0"/>
          <w:noProof w:val="0"/>
          <w:color w:val="000000"/>
          <w:position w:val="0"/>
          <w:sz w:val="20"/>
          <w:u w:val="none"/>
          <w:vertAlign w:val="baseline"/>
        </w:rPr>
        <w:t xml:space="preserve"> </w:t>
      </w:r>
      <w:hyperlink r:id="rId14" w:history="1">
        <w:r>
          <w:rPr>
            <w:rFonts w:ascii="times" w:eastAsia="times" w:hAnsi="times" w:cs="times"/>
            <w:b w:val="0"/>
            <w:i w:val="0"/>
            <w:strike w:val="0"/>
            <w:noProof w:val="0"/>
            <w:color w:val="0077CC"/>
            <w:position w:val="0"/>
            <w:sz w:val="20"/>
            <w:u w:val="single"/>
            <w:shd w:val="clear" w:color="auto" w:fill="FFFFFF"/>
            <w:vertAlign w:val="baseline"/>
          </w:rPr>
          <w:t>12 U.S.C. § 2605(k)(1)(C)</w:t>
        </w:r>
      </w:hyperlink>
      <w:r>
        <w:rPr>
          <w:rFonts w:ascii="times" w:eastAsia="times" w:hAnsi="times" w:cs="times"/>
          <w:b w:val="0"/>
          <w:i w:val="0"/>
          <w:strike w:val="0"/>
          <w:noProof w:val="0"/>
          <w:color w:val="000000"/>
          <w:position w:val="0"/>
          <w:sz w:val="20"/>
          <w:u w:val="none"/>
          <w:vertAlign w:val="baseline"/>
        </w:rPr>
        <w:t xml:space="preserve"> (stating that a servicer must "respond to a borrower's requests to correct errors relating to allocation of payments, final balances for purposes of paying off the loan, or avoiding foreclosure, or other standard servicer's duties"). Rather, the Johnson Letter merely challenges the denial of a modification of the terms of Johnson's loan. The only error alleged in the Johnson Letter is denial of the loan modification based on title issues regarding the solar panel company lien. This does not fall within the ambit of "servicing" so as to trigger RESPA's protections against providing adverse information to credit reporting agencies.</w:t>
      </w:r>
    </w:p>
    <w:p>
      <w:pPr>
        <w:keepNext w:val="0"/>
        <w:widowControl w:val="0"/>
        <w:spacing w:before="240" w:after="0" w:line="260" w:lineRule="atLeast"/>
        <w:ind w:left="0" w:right="0" w:firstLine="0"/>
        <w:jc w:val="both"/>
      </w:pPr>
      <w:bookmarkStart w:id="81" w:name="Bookmark_para_36"/>
      <w:bookmarkEnd w:id="81"/>
      <w:bookmarkStart w:id="82" w:name="Bookmark_I64W34KS2HM5RR0010000400"/>
      <w:bookmarkEnd w:id="82"/>
      <w:bookmarkStart w:id="83" w:name="Bookmark_I64W34KS2HM5RR0030000400"/>
      <w:bookmarkEnd w:id="83"/>
      <w:r>
        <w:rPr>
          <w:rFonts w:ascii="times" w:eastAsia="times" w:hAnsi="times" w:cs="times"/>
          <w:b w:val="0"/>
          <w:i w:val="0"/>
          <w:strike w:val="0"/>
          <w:noProof w:val="0"/>
          <w:color w:val="000000"/>
          <w:position w:val="0"/>
          <w:sz w:val="20"/>
          <w:u w:val="none"/>
          <w:vertAlign w:val="baseline"/>
        </w:rPr>
        <w:t xml:space="preserve">Johnson points to </w:t>
      </w:r>
      <w:bookmarkStart w:id="84" w:name="Bookmark_I64W34KS2N1RHV0050000400"/>
      <w:bookmarkEnd w:id="84"/>
      <w:hyperlink r:id="rId20" w:history="1">
        <w:r>
          <w:rPr>
            <w:rFonts w:ascii="times" w:eastAsia="times" w:hAnsi="times" w:cs="times"/>
            <w:b w:val="0"/>
            <w:i/>
            <w:strike w:val="0"/>
            <w:noProof w:val="0"/>
            <w:color w:val="0077CC"/>
            <w:position w:val="0"/>
            <w:sz w:val="20"/>
            <w:u w:val="single"/>
            <w:shd w:val="clear" w:color="auto" w:fill="FFFFFF"/>
            <w:vertAlign w:val="baseline"/>
          </w:rPr>
          <w:t>Naimoli v. Ocwen Loan Servicing, LLC</w:t>
        </w:r>
      </w:hyperlink>
      <w:hyperlink r:id="rId20" w:history="1">
        <w:r>
          <w:rPr>
            <w:rFonts w:ascii="times" w:eastAsia="times" w:hAnsi="times" w:cs="times"/>
            <w:b w:val="0"/>
            <w:i w:val="0"/>
            <w:strike w:val="0"/>
            <w:noProof w:val="0"/>
            <w:color w:val="0077CC"/>
            <w:position w:val="0"/>
            <w:sz w:val="20"/>
            <w:u w:val="single"/>
            <w:shd w:val="clear" w:color="auto" w:fill="FFFFFF"/>
            <w:vertAlign w:val="baseline"/>
          </w:rPr>
          <w:t>, 22 F.4th 376 (2d Cir. 2022)</w:t>
        </w:r>
      </w:hyperlink>
      <w:r>
        <w:rPr>
          <w:rFonts w:ascii="times" w:eastAsia="times" w:hAnsi="times" w:cs="times"/>
          <w:b w:val="0"/>
          <w:i w:val="0"/>
          <w:strike w:val="0"/>
          <w:noProof w:val="0"/>
          <w:color w:val="000000"/>
          <w:position w:val="0"/>
          <w:sz w:val="20"/>
          <w:u w:val="none"/>
          <w:vertAlign w:val="baseline"/>
        </w:rPr>
        <w:t>, as support for her argument that RESPA is applicable to her situation.</w:t>
      </w:r>
      <w:r>
        <w:rPr>
          <w:rFonts w:ascii="times" w:eastAsia="times" w:hAnsi="times" w:cs="times"/>
          <w:b/>
          <w:i w:val="0"/>
          <w:strike w:val="0"/>
          <w:noProof w:val="0"/>
          <w:color w:val="000000"/>
          <w:position w:val="0"/>
          <w:sz w:val="20"/>
          <w:u w:val="none"/>
          <w:vertAlign w:val="baseline"/>
        </w:rPr>
        <w:t> [*15] </w:t>
      </w:r>
      <w:r>
        <w:rPr>
          <w:rFonts w:ascii="times" w:eastAsia="times" w:hAnsi="times" w:cs="times"/>
          <w:b w:val="0"/>
          <w:i w:val="0"/>
          <w:strike w:val="0"/>
          <w:noProof w:val="0"/>
          <w:color w:val="000000"/>
          <w:position w:val="0"/>
          <w:sz w:val="20"/>
          <w:u w:val="none"/>
          <w:vertAlign w:val="baseline"/>
        </w:rPr>
        <w:t xml:space="preserve"> In </w:t>
      </w:r>
      <w:bookmarkStart w:id="85" w:name="Bookmark_I64W34KS2HM5RR0020000400"/>
      <w:bookmarkEnd w:id="85"/>
      <w:hyperlink r:id="rId20" w:history="1">
        <w:r>
          <w:rPr>
            <w:rFonts w:ascii="times" w:eastAsia="times" w:hAnsi="times" w:cs="times"/>
            <w:b w:val="0"/>
            <w:i w:val="0"/>
            <w:strike w:val="0"/>
            <w:noProof w:val="0"/>
            <w:color w:val="0077CC"/>
            <w:position w:val="0"/>
            <w:sz w:val="20"/>
            <w:u w:val="single"/>
            <w:shd w:val="clear" w:color="auto" w:fill="FFFFFF"/>
            <w:vertAlign w:val="baseline"/>
          </w:rPr>
          <w:t>Naimoli</w:t>
        </w:r>
      </w:hyperlink>
      <w:r>
        <w:rPr>
          <w:rFonts w:ascii="times" w:eastAsia="times" w:hAnsi="times" w:cs="times"/>
          <w:b w:val="0"/>
          <w:i w:val="0"/>
          <w:strike w:val="0"/>
          <w:noProof w:val="0"/>
          <w:color w:val="000000"/>
          <w:position w:val="0"/>
          <w:sz w:val="20"/>
          <w:u w:val="none"/>
          <w:vertAlign w:val="baseline"/>
        </w:rPr>
        <w:t xml:space="preserve">, a loan servicer denied a loan modification after the servicer lost a borrower's loan documents. </w:t>
      </w:r>
      <w:bookmarkStart w:id="86" w:name="Bookmark_I64W34KS2HM5RR0040000400"/>
      <w:bookmarkEnd w:id="86"/>
      <w:hyperlink r:id="rId20" w:history="1">
        <w:r>
          <w:rPr>
            <w:rFonts w:ascii="times" w:eastAsia="times" w:hAnsi="times" w:cs="times"/>
            <w:b w:val="0"/>
            <w:i w:val="0"/>
            <w:strike w:val="0"/>
            <w:noProof w:val="0"/>
            <w:color w:val="0077CC"/>
            <w:position w:val="0"/>
            <w:sz w:val="20"/>
            <w:u w:val="single"/>
            <w:shd w:val="clear" w:color="auto" w:fill="FFFFFF"/>
            <w:vertAlign w:val="baseline"/>
          </w:rPr>
          <w:t>22 F.4th at 383</w:t>
        </w:r>
      </w:hyperlink>
      <w:r>
        <w:rPr>
          <w:rFonts w:ascii="times" w:eastAsia="times" w:hAnsi="times" w:cs="times"/>
          <w:b w:val="0"/>
          <w:i w:val="0"/>
          <w:strike w:val="0"/>
          <w:noProof w:val="0"/>
          <w:color w:val="000000"/>
          <w:position w:val="0"/>
          <w:sz w:val="20"/>
          <w:u w:val="none"/>
          <w:vertAlign w:val="baseline"/>
        </w:rPr>
        <w:t xml:space="preserve">. </w:t>
      </w:r>
      <w:bookmarkStart w:id="87" w:name="Bookmark_I3J46YPPHFJ00007R300000N"/>
      <w:bookmarkEnd w:id="87"/>
      <w:bookmarkStart w:id="88" w:name="Bookmark_I64W34KT28T4T50020000400"/>
      <w:bookmarkEnd w:id="88"/>
      <w:r>
        <w:rPr>
          <w:rFonts w:ascii="times" w:eastAsia="times" w:hAnsi="times" w:cs="times"/>
          <w:b w:val="0"/>
          <w:i w:val="0"/>
          <w:strike w:val="0"/>
          <w:noProof w:val="0"/>
          <w:color w:val="000000"/>
          <w:position w:val="0"/>
          <w:sz w:val="20"/>
          <w:u w:val="none"/>
          <w:vertAlign w:val="baseline"/>
        </w:rPr>
        <w:t xml:space="preserve">The Second Circuit concluded that the mismanagement of documents is an error "related to" servicing of the borrower's loan and is consequently covered by the protections of RESPA. </w:t>
      </w:r>
      <w:r>
        <w:rPr>
          <w:rFonts w:ascii="times" w:eastAsia="times" w:hAnsi="times" w:cs="times"/>
          <w:b w:val="0"/>
          <w:i/>
          <w:strike w:val="0"/>
          <w:noProof w:val="0"/>
          <w:color w:val="000000"/>
          <w:position w:val="0"/>
          <w:sz w:val="20"/>
          <w:u w:val="none"/>
          <w:vertAlign w:val="baseline"/>
        </w:rPr>
        <w:t>Id.</w:t>
      </w:r>
      <w:r>
        <w:rPr>
          <w:rFonts w:ascii="times" w:eastAsia="times" w:hAnsi="times" w:cs="times"/>
          <w:b w:val="0"/>
          <w:i w:val="0"/>
          <w:strike w:val="0"/>
          <w:noProof w:val="0"/>
          <w:color w:val="000000"/>
          <w:position w:val="0"/>
          <w:sz w:val="20"/>
          <w:u w:val="none"/>
          <w:vertAlign w:val="baseline"/>
        </w:rPr>
        <w:t xml:space="preserve"> But, importantly, the Second Circuit's holding is still limited to </w:t>
      </w:r>
      <w:r>
        <w:rPr>
          <w:rFonts w:ascii="times" w:eastAsia="times" w:hAnsi="times" w:cs="times"/>
          <w:b w:val="0"/>
          <w:i/>
          <w:strike w:val="0"/>
          <w:noProof w:val="0"/>
          <w:color w:val="000000"/>
          <w:position w:val="0"/>
          <w:sz w:val="20"/>
          <w:u w:val="none"/>
          <w:vertAlign w:val="baseline"/>
        </w:rPr>
        <w:t>servicing</w:t>
      </w:r>
      <w:r>
        <w:rPr>
          <w:rFonts w:ascii="times" w:eastAsia="times" w:hAnsi="times" w:cs="times"/>
          <w:b w:val="0"/>
          <w:i w:val="0"/>
          <w:strike w:val="0"/>
          <w:noProof w:val="0"/>
          <w:color w:val="000000"/>
          <w:position w:val="0"/>
          <w:sz w:val="20"/>
          <w:u w:val="none"/>
          <w:vertAlign w:val="baseline"/>
        </w:rPr>
        <w:t xml:space="preserve"> errors. The Second Circuit held the identification of "errors while in pursuit of a loss mitigation option does not impair their connection to the servicing of [the borrower's] loan," as it was the "loss of the loan documents [that] made [the borrower] ineligible for the loan modification" and in turn "jeopardized [the servicer's] ability to make payments to the loan's owners in the event of a foreclosure." </w:t>
      </w:r>
      <w:r>
        <w:rPr>
          <w:rFonts w:ascii="times" w:eastAsia="times" w:hAnsi="times" w:cs="times"/>
          <w:b w:val="0"/>
          <w:i/>
          <w:strike w:val="0"/>
          <w:noProof w:val="0"/>
          <w:color w:val="000000"/>
          <w:position w:val="0"/>
          <w:sz w:val="20"/>
          <w:u w:val="none"/>
          <w:vertAlign w:val="baseline"/>
        </w:rPr>
        <w:t>Id.</w:t>
      </w:r>
      <w:r>
        <w:rPr>
          <w:rFonts w:ascii="times" w:eastAsia="times" w:hAnsi="times" w:cs="times"/>
          <w:b w:val="0"/>
          <w:i w:val="0"/>
          <w:strike w:val="0"/>
          <w:noProof w:val="0"/>
          <w:color w:val="000000"/>
          <w:position w:val="0"/>
          <w:sz w:val="20"/>
          <w:u w:val="none"/>
          <w:vertAlign w:val="baseline"/>
        </w:rPr>
        <w:t xml:space="preserve"> Moreover, "the errors [the borrower] identified were correctable without overturning [the servicer's] determination regarding her loss mitigation application, because [the servicer] could simply have located and recorded the documents without changing its decision regarding loss mitigation." </w:t>
      </w:r>
      <w:r>
        <w:rPr>
          <w:rFonts w:ascii="times" w:eastAsia="times" w:hAnsi="times" w:cs="times"/>
          <w:b w:val="0"/>
          <w:i/>
          <w:strike w:val="0"/>
          <w:noProof w:val="0"/>
          <w:color w:val="000000"/>
          <w:position w:val="0"/>
          <w:sz w:val="20"/>
          <w:u w:val="none"/>
          <w:vertAlign w:val="baseline"/>
        </w:rPr>
        <w:t>Id.</w:t>
      </w:r>
      <w:r>
        <w:rPr>
          <w:rFonts w:ascii="times" w:eastAsia="times" w:hAnsi="times" w:cs="times"/>
          <w:b w:val="0"/>
          <w:i w:val="0"/>
          <w:strike w:val="0"/>
          <w:noProof w:val="0"/>
          <w:color w:val="000000"/>
          <w:position w:val="0"/>
          <w:sz w:val="20"/>
          <w:u w:val="none"/>
          <w:vertAlign w:val="baseline"/>
        </w:rPr>
        <w:t xml:space="preserve"> Therefore, </w:t>
      </w:r>
      <w:bookmarkStart w:id="89" w:name="Bookmark_I64W34KT28T4T50020000400_2"/>
      <w:bookmarkEnd w:id="89"/>
      <w:bookmarkStart w:id="90" w:name="Bookmark_I64W34KT28T4T50010000400"/>
      <w:bookmarkEnd w:id="90"/>
      <w:hyperlink r:id="rId20" w:history="1">
        <w:r>
          <w:rPr>
            <w:rFonts w:ascii="times" w:eastAsia="times" w:hAnsi="times" w:cs="times"/>
            <w:b w:val="0"/>
            <w:i w:val="0"/>
            <w:strike w:val="0"/>
            <w:noProof w:val="0"/>
            <w:color w:val="0077CC"/>
            <w:position w:val="0"/>
            <w:sz w:val="20"/>
            <w:u w:val="single"/>
            <w:shd w:val="clear" w:color="auto" w:fill="FFFFFF"/>
            <w:vertAlign w:val="baseline"/>
          </w:rPr>
          <w:t>Naimoli</w:t>
        </w:r>
      </w:hyperlink>
      <w:r>
        <w:rPr>
          <w:rFonts w:ascii="times" w:eastAsia="times" w:hAnsi="times" w:cs="times"/>
          <w:b w:val="0"/>
          <w:i w:val="0"/>
          <w:strike w:val="0"/>
          <w:noProof w:val="0"/>
          <w:color w:val="000000"/>
          <w:position w:val="0"/>
          <w:sz w:val="20"/>
          <w:u w:val="none"/>
          <w:vertAlign w:val="baseline"/>
        </w:rPr>
        <w:t xml:space="preserve"> is unavailing here.</w:t>
      </w:r>
    </w:p>
    <w:p>
      <w:pPr>
        <w:keepNext w:val="0"/>
        <w:widowControl w:val="0"/>
        <w:spacing w:before="200" w:after="0" w:line="260" w:lineRule="atLeast"/>
        <w:ind w:left="0" w:right="0" w:firstLine="0"/>
        <w:jc w:val="both"/>
      </w:pPr>
      <w:bookmarkStart w:id="91" w:name="Bookmark_para_37"/>
      <w:bookmarkEnd w:id="91"/>
      <w:r>
        <w:rPr>
          <w:rFonts w:ascii="times" w:eastAsia="times" w:hAnsi="times" w:cs="times"/>
          <w:b w:val="0"/>
          <w:i w:val="0"/>
          <w:strike w:val="0"/>
          <w:noProof w:val="0"/>
          <w:color w:val="000000"/>
          <w:position w:val="0"/>
          <w:sz w:val="20"/>
          <w:u w:val="none"/>
          <w:vertAlign w:val="baseline"/>
        </w:rPr>
        <w:t>Even taken in the light most favorable to Johnson, the Johnson Letter cannot constitute a QWR.</w:t>
      </w:r>
      <w:r>
        <w:rPr>
          <w:rFonts w:ascii="times" w:eastAsia="times" w:hAnsi="times" w:cs="times"/>
          <w:b/>
          <w:i w:val="0"/>
          <w:strike w:val="0"/>
          <w:noProof w:val="0"/>
          <w:color w:val="000000"/>
          <w:position w:val="0"/>
          <w:sz w:val="20"/>
          <w:u w:val="none"/>
          <w:vertAlign w:val="baseline"/>
        </w:rPr>
        <w:t> [*16] </w:t>
      </w:r>
      <w:r>
        <w:rPr>
          <w:rFonts w:ascii="times" w:eastAsia="times" w:hAnsi="times" w:cs="times"/>
          <w:b w:val="0"/>
          <w:i w:val="0"/>
          <w:strike w:val="0"/>
          <w:noProof w:val="0"/>
          <w:color w:val="000000"/>
          <w:position w:val="0"/>
          <w:sz w:val="20"/>
          <w:u w:val="none"/>
          <w:vertAlign w:val="baseline"/>
        </w:rPr>
        <w:t xml:space="preserve"> As a result, we affirm the district court's dismissal of Johnson's claim.</w:t>
      </w:r>
    </w:p>
    <w:p>
      <w:pPr>
        <w:keepNext w:val="0"/>
        <w:widowControl w:val="0"/>
        <w:spacing w:before="240" w:after="0" w:line="260" w:lineRule="atLeast"/>
        <w:ind w:left="0" w:right="0" w:firstLine="0"/>
        <w:jc w:val="left"/>
      </w:pPr>
      <w:r>
        <w:br/>
      </w:r>
      <w:bookmarkStart w:id="92" w:name="Bookmark_I64VW1VB2N1PRD0010000400"/>
      <w:bookmarkEnd w:id="92"/>
      <w:r>
        <w:rPr>
          <w:rFonts w:ascii="times" w:eastAsia="times" w:hAnsi="times" w:cs="times"/>
          <w:b w:val="0"/>
          <w:i w:val="0"/>
          <w:strike w:val="0"/>
          <w:noProof w:val="0"/>
          <w:color w:val="000000"/>
          <w:position w:val="0"/>
          <w:sz w:val="20"/>
          <w:u w:val="none"/>
          <w:vertAlign w:val="baseline"/>
        </w:rPr>
        <w:t>IV.</w:t>
      </w:r>
    </w:p>
    <w:p>
      <w:pPr>
        <w:keepNext w:val="0"/>
        <w:widowControl w:val="0"/>
        <w:spacing w:before="200" w:after="0" w:line="260" w:lineRule="atLeast"/>
        <w:ind w:left="0" w:right="0" w:firstLine="0"/>
        <w:jc w:val="both"/>
      </w:pPr>
      <w:bookmarkStart w:id="93" w:name="Bookmark_para_38"/>
      <w:bookmarkEnd w:id="93"/>
      <w:r>
        <w:rPr>
          <w:rFonts w:ascii="times" w:eastAsia="times" w:hAnsi="times" w:cs="times"/>
          <w:b w:val="0"/>
          <w:i w:val="0"/>
          <w:strike w:val="0"/>
          <w:noProof w:val="0"/>
          <w:color w:val="000000"/>
          <w:position w:val="0"/>
          <w:sz w:val="20"/>
          <w:u w:val="none"/>
          <w:vertAlign w:val="baseline"/>
        </w:rPr>
        <w:t xml:space="preserve">For the reasons set forth above, we hold the district court erred in granting Appellee's motion to dismiss Morgan's claim. Accordingly, we reverse and remand for further proceedings consistent with this opinion. </w:t>
      </w:r>
      <w:r>
        <w:rPr>
          <w:rFonts w:ascii="times" w:eastAsia="times" w:hAnsi="times" w:cs="times"/>
          <w:b w:val="0"/>
          <w:i w:val="0"/>
          <w:strike w:val="0"/>
          <w:noProof w:val="0"/>
          <w:color w:val="000000"/>
          <w:position w:val="0"/>
          <w:sz w:val="20"/>
          <w:u w:val="none"/>
          <w:vertAlign w:val="baseline"/>
        </w:rPr>
        <w:t>However, we affirm the district court's grant of Appellee's motion to dismiss Johnson's claim.</w:t>
      </w:r>
    </w:p>
    <w:p>
      <w:pPr>
        <w:keepNext w:val="0"/>
        <w:widowControl w:val="0"/>
        <w:spacing w:before="200" w:after="0" w:line="260" w:lineRule="atLeast"/>
        <w:ind w:left="0" w:right="0" w:firstLine="0"/>
        <w:jc w:val="both"/>
      </w:pPr>
      <w:bookmarkStart w:id="94" w:name="Bookmark_para_39"/>
      <w:bookmarkEnd w:id="94"/>
      <w:r>
        <w:rPr>
          <w:rFonts w:ascii="times" w:eastAsia="times" w:hAnsi="times" w:cs="times"/>
          <w:b w:val="0"/>
          <w:i/>
          <w:strike w:val="0"/>
          <w:noProof w:val="0"/>
          <w:color w:val="000000"/>
          <w:position w:val="0"/>
          <w:sz w:val="20"/>
          <w:u w:val="none"/>
          <w:vertAlign w:val="baseline"/>
        </w:rPr>
        <w:t>AFFIRMED IN PART, REVERSED IN PART, AND REMANDED</w:t>
      </w:r>
    </w:p>
    <w:p>
      <w:pPr>
        <w:keepNext w:val="0"/>
        <w:widowControl w:val="0"/>
        <w:spacing w:before="240" w:after="0" w:line="260" w:lineRule="atLeast"/>
        <w:ind w:left="0" w:right="0" w:firstLine="0"/>
        <w:jc w:val="left"/>
      </w:pPr>
      <w:bookmarkStart w:id="95" w:name="Concur by"/>
      <w:bookmarkEnd w:id="95"/>
      <w:r>
        <w:rPr>
          <w:rFonts w:ascii="times" w:eastAsia="times" w:hAnsi="times" w:cs="times"/>
          <w:b/>
          <w:i w:val="0"/>
          <w:strike w:val="0"/>
          <w:noProof w:val="0"/>
          <w:color w:val="000000"/>
          <w:position w:val="0"/>
          <w:sz w:val="20"/>
          <w:u w:val="none"/>
          <w:vertAlign w:val="baseline"/>
        </w:rPr>
        <w:t>Concur by:</w:t>
      </w:r>
      <w:r>
        <w:rPr>
          <w:rFonts w:ascii="times" w:eastAsia="times" w:hAnsi="times" w:cs="times"/>
          <w:b w:val="0"/>
          <w:i w:val="0"/>
          <w:strike w:val="0"/>
          <w:noProof w:val="0"/>
          <w:color w:val="000000"/>
          <w:position w:val="0"/>
          <w:sz w:val="20"/>
          <w:u w:val="none"/>
          <w:vertAlign w:val="baseline"/>
        </w:rPr>
        <w:t> RICHARDSON (In Part)</w:t>
      </w:r>
    </w:p>
    <w:p>
      <w:pPr>
        <w:keepNext w:val="0"/>
        <w:widowControl w:val="0"/>
        <w:spacing w:before="240" w:after="0" w:line="260" w:lineRule="atLeast"/>
        <w:ind w:left="0" w:right="0" w:firstLine="0"/>
        <w:jc w:val="left"/>
      </w:pPr>
      <w:bookmarkStart w:id="96" w:name="Dissent by"/>
      <w:bookmarkEnd w:id="96"/>
      <w:r>
        <w:rPr>
          <w:rFonts w:ascii="times" w:eastAsia="times" w:hAnsi="times" w:cs="times"/>
          <w:b/>
          <w:i w:val="0"/>
          <w:strike w:val="0"/>
          <w:noProof w:val="0"/>
          <w:color w:val="000000"/>
          <w:position w:val="0"/>
          <w:sz w:val="20"/>
          <w:u w:val="none"/>
          <w:vertAlign w:val="baseline"/>
        </w:rPr>
        <w:t>Dissent by:</w:t>
      </w:r>
      <w:r>
        <w:rPr>
          <w:rFonts w:ascii="times" w:eastAsia="times" w:hAnsi="times" w:cs="times"/>
          <w:b w:val="0"/>
          <w:i w:val="0"/>
          <w:strike w:val="0"/>
          <w:noProof w:val="0"/>
          <w:color w:val="000000"/>
          <w:position w:val="0"/>
          <w:sz w:val="20"/>
          <w:u w:val="none"/>
          <w:vertAlign w:val="baseline"/>
        </w:rPr>
        <w:t> RICHARDSON (In Part)</w:t>
      </w:r>
    </w:p>
    <w:p>
      <w:pPr>
        <w:keepNext/>
        <w:widowControl w:val="0"/>
        <w:spacing w:before="240" w:after="0" w:line="340" w:lineRule="atLeast"/>
        <w:ind w:left="0" w:right="0" w:firstLine="0"/>
        <w:jc w:val="left"/>
      </w:pPr>
      <w:bookmarkStart w:id="97" w:name="Dissent"/>
      <w:bookmarkEnd w:id="97"/>
      <w:r>
        <w:rPr>
          <w:rFonts w:ascii="times" w:eastAsia="times" w:hAnsi="times" w:cs="times"/>
          <w:b/>
          <w:i w:val="0"/>
          <w:strike w:val="0"/>
          <w:noProof w:val="0"/>
          <w:color w:val="000000"/>
          <w:position w:val="0"/>
          <w:sz w:val="28"/>
          <w:u w:val="none"/>
          <w:vertAlign w:val="baseline"/>
        </w:rPr>
        <w:t>Dissent</w:t>
      </w:r>
    </w:p>
    <w:p>
      <w:pPr>
        <w:spacing w:line="60" w:lineRule="exact"/>
      </w:pPr>
      <w:r>
        <w:pict>
          <v:line id="_x0000_s1027" style="position:absolute;z-index:251659264" from="0,2pt" to="251pt,2pt" strokecolor="#009ddb" strokeweight="2pt">
            <v:stroke linestyle="single"/>
            <w10:wrap type="topAndBottom"/>
          </v:line>
        </w:pict>
      </w:r>
    </w:p>
    <w:p/>
    <w:p>
      <w:pPr>
        <w:keepNext w:val="0"/>
        <w:widowControl w:val="0"/>
        <w:spacing w:before="200" w:after="0" w:line="260" w:lineRule="atLeast"/>
        <w:ind w:left="0" w:right="0" w:firstLine="0"/>
        <w:jc w:val="both"/>
      </w:pPr>
      <w:bookmarkStart w:id="98" w:name="Bookmark_para_40"/>
      <w:bookmarkEnd w:id="98"/>
      <w:r>
        <w:rPr>
          <w:rFonts w:ascii="times" w:eastAsia="times" w:hAnsi="times" w:cs="times"/>
          <w:b w:val="0"/>
          <w:i w:val="0"/>
          <w:strike w:val="0"/>
          <w:noProof w:val="0"/>
          <w:color w:val="000000"/>
          <w:position w:val="0"/>
          <w:sz w:val="20"/>
          <w:u w:val="none"/>
          <w:vertAlign w:val="baseline"/>
        </w:rPr>
        <w:t>RICHARDSON, concurring in part and dissenting in part:</w:t>
      </w:r>
    </w:p>
    <w:p>
      <w:pPr>
        <w:keepNext w:val="0"/>
        <w:widowControl w:val="0"/>
        <w:spacing w:before="240" w:after="0" w:line="260" w:lineRule="atLeast"/>
        <w:ind w:left="0" w:right="0" w:firstLine="0"/>
        <w:jc w:val="both"/>
      </w:pPr>
      <w:bookmarkStart w:id="99" w:name="Bookmark_para_41"/>
      <w:bookmarkEnd w:id="99"/>
      <w:r>
        <w:rPr>
          <w:rFonts w:ascii="times" w:eastAsia="times" w:hAnsi="times" w:cs="times"/>
          <w:b w:val="0"/>
          <w:i w:val="0"/>
          <w:strike w:val="0"/>
          <w:noProof w:val="0"/>
          <w:color w:val="000000"/>
          <w:position w:val="0"/>
          <w:sz w:val="20"/>
          <w:u w:val="none"/>
          <w:vertAlign w:val="baseline"/>
        </w:rPr>
        <w:t xml:space="preserve">I largely agree with my colleagues. But I disagree that the Morgan letter constitutes a "qualified written request" triggering protection under the </w:t>
      </w:r>
      <w:hyperlink r:id="rId11" w:history="1">
        <w:r>
          <w:rPr>
            <w:rFonts w:ascii="times" w:eastAsia="times" w:hAnsi="times" w:cs="times"/>
            <w:b w:val="0"/>
            <w:i w:val="0"/>
            <w:strike w:val="0"/>
            <w:noProof w:val="0"/>
            <w:color w:val="0077CC"/>
            <w:position w:val="0"/>
            <w:sz w:val="20"/>
            <w:u w:val="single"/>
            <w:shd w:val="clear" w:color="auto" w:fill="FFFFFF"/>
            <w:vertAlign w:val="baseline"/>
          </w:rPr>
          <w:t>Real Estate Settlement Procedures Act</w:t>
        </w:r>
      </w:hyperlink>
      <w:r>
        <w:rPr>
          <w:rFonts w:ascii="times" w:eastAsia="times" w:hAnsi="times" w:cs="times"/>
          <w:b w:val="0"/>
          <w:i w:val="0"/>
          <w:strike w:val="0"/>
          <w:noProof w:val="0"/>
          <w:color w:val="000000"/>
          <w:position w:val="0"/>
          <w:sz w:val="20"/>
          <w:u w:val="none"/>
          <w:vertAlign w:val="baseline"/>
        </w:rPr>
        <w:t xml:space="preserve">. The Act requires, among other things satisfied here, a "statement of the reasons for the belief of the borrower . . . that the account is in error." </w:t>
      </w:r>
      <w:hyperlink r:id="rId14" w:history="1">
        <w:r>
          <w:rPr>
            <w:rFonts w:ascii="times" w:eastAsia="times" w:hAnsi="times" w:cs="times"/>
            <w:b w:val="0"/>
            <w:i w:val="0"/>
            <w:strike w:val="0"/>
            <w:noProof w:val="0"/>
            <w:color w:val="0077CC"/>
            <w:position w:val="0"/>
            <w:sz w:val="20"/>
            <w:u w:val="single"/>
            <w:shd w:val="clear" w:color="auto" w:fill="FFFFFF"/>
            <w:vertAlign w:val="baseline"/>
          </w:rPr>
          <w:t>12 U.S.C. § 2605(e)(1)(B)(ii)</w:t>
        </w:r>
      </w:hyperlink>
      <w:r>
        <w:rPr>
          <w:rFonts w:ascii="times" w:eastAsia="times" w:hAnsi="times" w:cs="times"/>
          <w:b w:val="0"/>
          <w:i w:val="0"/>
          <w:strike w:val="0"/>
          <w:noProof w:val="0"/>
          <w:color w:val="000000"/>
          <w:position w:val="0"/>
          <w:sz w:val="20"/>
          <w:u w:val="none"/>
          <w:vertAlign w:val="baseline"/>
        </w:rPr>
        <w:t>. The Morgan letter fails to identify the believed error and provides no "statement of the reasons" for believing that unidentified error exists.</w:t>
      </w:r>
    </w:p>
    <w:p>
      <w:pPr>
        <w:keepNext w:val="0"/>
        <w:widowControl w:val="0"/>
        <w:spacing w:before="200" w:after="0" w:line="260" w:lineRule="atLeast"/>
        <w:ind w:left="0" w:right="0" w:firstLine="0"/>
        <w:jc w:val="both"/>
      </w:pPr>
      <w:bookmarkStart w:id="100" w:name="Bookmark_para_42"/>
      <w:bookmarkEnd w:id="100"/>
      <w:r>
        <w:rPr>
          <w:rFonts w:ascii="times" w:eastAsia="times" w:hAnsi="times" w:cs="times"/>
          <w:b w:val="0"/>
          <w:i w:val="0"/>
          <w:strike w:val="0"/>
          <w:noProof w:val="0"/>
          <w:color w:val="000000"/>
          <w:position w:val="0"/>
          <w:sz w:val="20"/>
          <w:u w:val="none"/>
          <w:vertAlign w:val="baseline"/>
        </w:rPr>
        <w:t xml:space="preserve">Let's start with the servicing error itself. The letter does not identify what the alleged error might be. </w:t>
      </w:r>
      <w:r>
        <w:rPr>
          <w:rFonts w:ascii="times" w:eastAsia="times" w:hAnsi="times" w:cs="times"/>
          <w:b w:val="0"/>
          <w:i/>
          <w:strike w:val="0"/>
          <w:noProof w:val="0"/>
          <w:color w:val="000000"/>
          <w:position w:val="0"/>
          <w:sz w:val="20"/>
          <w:u w:val="none"/>
          <w:vertAlign w:val="baseline"/>
        </w:rPr>
        <w:t>See</w:t>
      </w:r>
      <w:r>
        <w:rPr>
          <w:rFonts w:ascii="times" w:eastAsia="times" w:hAnsi="times" w:cs="times"/>
          <w:b w:val="0"/>
          <w:i w:val="0"/>
          <w:strike w:val="0"/>
          <w:noProof w:val="0"/>
          <w:color w:val="000000"/>
          <w:position w:val="0"/>
          <w:sz w:val="20"/>
          <w:u w:val="none"/>
          <w:vertAlign w:val="baseline"/>
        </w:rPr>
        <w:t xml:space="preserve"> </w:t>
      </w:r>
      <w:hyperlink r:id="rId15" w:history="1">
        <w:r>
          <w:rPr>
            <w:rFonts w:ascii="times" w:eastAsia="times" w:hAnsi="times" w:cs="times"/>
            <w:b w:val="0"/>
            <w:i w:val="0"/>
            <w:strike w:val="0"/>
            <w:noProof w:val="0"/>
            <w:color w:val="0077CC"/>
            <w:position w:val="0"/>
            <w:sz w:val="20"/>
            <w:u w:val="single"/>
            <w:shd w:val="clear" w:color="auto" w:fill="FFFFFF"/>
            <w:vertAlign w:val="baseline"/>
          </w:rPr>
          <w:t>12 C.F.R. § 1024.35(a)</w:t>
        </w:r>
      </w:hyperlink>
      <w:r>
        <w:rPr>
          <w:rFonts w:ascii="times" w:eastAsia="times" w:hAnsi="times" w:cs="times"/>
          <w:b w:val="0"/>
          <w:i w:val="0"/>
          <w:strike w:val="0"/>
          <w:noProof w:val="0"/>
          <w:color w:val="000000"/>
          <w:position w:val="0"/>
          <w:sz w:val="20"/>
          <w:u w:val="none"/>
          <w:vertAlign w:val="baseline"/>
        </w:rPr>
        <w:t>. As the majority points out, the letter does identify two balances about a year apart. First, the D.C. Government identified</w:t>
      </w:r>
      <w:r>
        <w:rPr>
          <w:rFonts w:ascii="times" w:eastAsia="times" w:hAnsi="times" w:cs="times"/>
          <w:b/>
          <w:i w:val="0"/>
          <w:strike w:val="0"/>
          <w:noProof w:val="0"/>
          <w:color w:val="000000"/>
          <w:position w:val="0"/>
          <w:sz w:val="20"/>
          <w:u w:val="none"/>
          <w:vertAlign w:val="baseline"/>
        </w:rPr>
        <w:t> [*17] </w:t>
      </w:r>
      <w:r>
        <w:rPr>
          <w:rFonts w:ascii="times" w:eastAsia="times" w:hAnsi="times" w:cs="times"/>
          <w:b w:val="0"/>
          <w:i w:val="0"/>
          <w:strike w:val="0"/>
          <w:noProof w:val="0"/>
          <w:color w:val="000000"/>
          <w:position w:val="0"/>
          <w:sz w:val="20"/>
          <w:u w:val="none"/>
          <w:vertAlign w:val="baseline"/>
        </w:rPr>
        <w:t xml:space="preserve"> the balance in October 2015 as $16,806. And then Caliber identified a September 2016 balance of $30,656.89 plus $630 in late charges.</w:t>
      </w:r>
    </w:p>
    <w:p>
      <w:pPr>
        <w:keepNext w:val="0"/>
        <w:widowControl w:val="0"/>
        <w:spacing w:before="200" w:after="0" w:line="260" w:lineRule="atLeast"/>
        <w:ind w:left="0" w:right="0" w:firstLine="0"/>
        <w:jc w:val="both"/>
      </w:pPr>
      <w:bookmarkStart w:id="101" w:name="Bookmark_para_43"/>
      <w:bookmarkEnd w:id="101"/>
      <w:r>
        <w:rPr>
          <w:rFonts w:ascii="times" w:eastAsia="times" w:hAnsi="times" w:cs="times"/>
          <w:b w:val="0"/>
          <w:i w:val="0"/>
          <w:strike w:val="0"/>
          <w:noProof w:val="0"/>
          <w:color w:val="000000"/>
          <w:position w:val="0"/>
          <w:sz w:val="20"/>
          <w:u w:val="none"/>
          <w:vertAlign w:val="baseline"/>
        </w:rPr>
        <w:t xml:space="preserve">After identifying two balances, Morgan claims that Caliber was "reporting the wrong amount to the credit agency." J.A. 82. But only the lower balance ($16,806) came from a credit report. So the letter seems to suggest that lower balance must be the "wrong amount," meaning the higher ($30,656) balance must be correct. But that cannot be. It would hardly make sense for Morgan to complain that Caliber erred in providing the credit agency with too low of a balance. One might alternatively stretch to read Morgan's letter to allege that Caliber's $30,656 balance was the "wrong amount" but then it is hard to understand from the letter what is wrong with the $16,806 balance that came from a credit report. Either way, neither reading reflects the error Morgan believed existed. Morgan explains—in the complaint, not the letter—that the loan had been fully paid off so he apparently believed that </w:t>
      </w:r>
      <w:r>
        <w:rPr>
          <w:rFonts w:ascii="times" w:eastAsia="times" w:hAnsi="times" w:cs="times"/>
          <w:b w:val="0"/>
          <w:i/>
          <w:strike w:val="0"/>
          <w:noProof w:val="0"/>
          <w:color w:val="000000"/>
          <w:position w:val="0"/>
          <w:sz w:val="20"/>
          <w:u w:val="none"/>
          <w:vertAlign w:val="baseline"/>
        </w:rPr>
        <w:t>both</w:t>
      </w:r>
      <w:r>
        <w:rPr>
          <w:rFonts w:ascii="times" w:eastAsia="times" w:hAnsi="times" w:cs="times"/>
          <w:b w:val="0"/>
          <w:i w:val="0"/>
          <w:strike w:val="0"/>
          <w:noProof w:val="0"/>
          <w:color w:val="000000"/>
          <w:position w:val="0"/>
          <w:sz w:val="20"/>
          <w:u w:val="none"/>
          <w:vertAlign w:val="baseline"/>
        </w:rPr>
        <w:t xml:space="preserve"> balances referenced in the letter were wrong. But there is no way to glean that error from the letter.</w:t>
      </w:r>
    </w:p>
    <w:p>
      <w:pPr>
        <w:keepNext w:val="0"/>
        <w:widowControl w:val="0"/>
        <w:spacing w:before="200" w:after="0" w:line="260" w:lineRule="atLeast"/>
        <w:ind w:left="0" w:right="0" w:firstLine="0"/>
        <w:jc w:val="both"/>
      </w:pPr>
      <w:bookmarkStart w:id="102" w:name="Bookmark_para_44"/>
      <w:bookmarkEnd w:id="102"/>
      <w:r>
        <w:rPr>
          <w:rFonts w:ascii="times" w:eastAsia="times" w:hAnsi="times" w:cs="times"/>
          <w:b w:val="0"/>
          <w:i w:val="0"/>
          <w:strike w:val="0"/>
          <w:noProof w:val="0"/>
          <w:color w:val="000000"/>
          <w:position w:val="0"/>
          <w:sz w:val="20"/>
          <w:u w:val="none"/>
          <w:vertAlign w:val="baseline"/>
        </w:rPr>
        <w:t>Even if I strained to read Morgan's letter as claiming both listed</w:t>
      </w:r>
      <w:r>
        <w:rPr>
          <w:rFonts w:ascii="times" w:eastAsia="times" w:hAnsi="times" w:cs="times"/>
          <w:b/>
          <w:i w:val="0"/>
          <w:strike w:val="0"/>
          <w:noProof w:val="0"/>
          <w:color w:val="000000"/>
          <w:position w:val="0"/>
          <w:sz w:val="20"/>
          <w:u w:val="none"/>
          <w:vertAlign w:val="baseline"/>
        </w:rPr>
        <w:t> [*18] </w:t>
      </w:r>
      <w:r>
        <w:rPr>
          <w:rFonts w:ascii="times" w:eastAsia="times" w:hAnsi="times" w:cs="times"/>
          <w:b w:val="0"/>
          <w:i w:val="0"/>
          <w:strike w:val="0"/>
          <w:noProof w:val="0"/>
          <w:color w:val="000000"/>
          <w:position w:val="0"/>
          <w:sz w:val="20"/>
          <w:u w:val="none"/>
          <w:vertAlign w:val="baseline"/>
        </w:rPr>
        <w:t xml:space="preserve"> amounts were wrong, the letter does even less to provide a "statement of reasons" for that belief. </w:t>
      </w:r>
      <w:hyperlink r:id="rId14" w:history="1">
        <w:r>
          <w:rPr>
            <w:rFonts w:ascii="times" w:eastAsia="times" w:hAnsi="times" w:cs="times"/>
            <w:b w:val="0"/>
            <w:i w:val="0"/>
            <w:strike w:val="0"/>
            <w:noProof w:val="0"/>
            <w:color w:val="0077CC"/>
            <w:position w:val="0"/>
            <w:sz w:val="20"/>
            <w:u w:val="single"/>
            <w:shd w:val="clear" w:color="auto" w:fill="FFFFFF"/>
            <w:vertAlign w:val="baseline"/>
          </w:rPr>
          <w:t>§ 2605(e)(1)(B)(ii)</w:t>
        </w:r>
      </w:hyperlink>
      <w:r>
        <w:rPr>
          <w:rFonts w:ascii="times" w:eastAsia="times" w:hAnsi="times" w:cs="times"/>
          <w:b w:val="0"/>
          <w:i w:val="0"/>
          <w:strike w:val="0"/>
          <w:noProof w:val="0"/>
          <w:color w:val="000000"/>
          <w:position w:val="0"/>
          <w:sz w:val="20"/>
          <w:u w:val="none"/>
          <w:vertAlign w:val="baseline"/>
        </w:rPr>
        <w:t xml:space="preserve">. While precision is not required, there are </w:t>
      </w:r>
      <w:r>
        <w:rPr>
          <w:rFonts w:ascii="times" w:eastAsia="times" w:hAnsi="times" w:cs="times"/>
          <w:b w:val="0"/>
          <w:i/>
          <w:strike w:val="0"/>
          <w:noProof w:val="0"/>
          <w:color w:val="000000"/>
          <w:position w:val="0"/>
          <w:sz w:val="20"/>
          <w:u w:val="none"/>
          <w:vertAlign w:val="baseline"/>
        </w:rPr>
        <w:t>no</w:t>
      </w:r>
      <w:r>
        <w:rPr>
          <w:rFonts w:ascii="times" w:eastAsia="times" w:hAnsi="times" w:cs="times"/>
          <w:b w:val="0"/>
          <w:i w:val="0"/>
          <w:strike w:val="0"/>
          <w:noProof w:val="0"/>
          <w:color w:val="000000"/>
          <w:position w:val="0"/>
          <w:sz w:val="20"/>
          <w:u w:val="none"/>
          <w:vertAlign w:val="baseline"/>
        </w:rPr>
        <w:t xml:space="preserve"> reasons provided. And an asserted error without reasons is not a qualified written request.</w:t>
      </w:r>
    </w:p>
    <w:p>
      <w:pPr>
        <w:keepNext w:val="0"/>
        <w:widowControl w:val="0"/>
        <w:spacing w:before="240" w:after="0" w:line="260" w:lineRule="atLeast"/>
        <w:ind w:left="0" w:right="0" w:firstLine="0"/>
        <w:jc w:val="both"/>
      </w:pPr>
      <w:bookmarkStart w:id="103" w:name="Bookmark_para_45"/>
      <w:bookmarkEnd w:id="103"/>
      <w:r>
        <w:rPr>
          <w:rFonts w:ascii="times" w:eastAsia="times" w:hAnsi="times" w:cs="times"/>
          <w:b w:val="0"/>
          <w:i w:val="0"/>
          <w:strike w:val="0"/>
          <w:noProof w:val="0"/>
          <w:color w:val="000000"/>
          <w:position w:val="0"/>
          <w:sz w:val="20"/>
          <w:u w:val="none"/>
          <w:vertAlign w:val="baseline"/>
        </w:rPr>
        <w:t xml:space="preserve">Nor can a borrower meet his duty to provide "reasons" by providing bits and pieces of information that the servicer might puzzle together to identify the borrower's belief and reasons. That lower bar only applies to the name and account of the borrower. A letter can either </w:t>
      </w:r>
      <w:r>
        <w:rPr>
          <w:rFonts w:ascii="times" w:eastAsia="times" w:hAnsi="times" w:cs="times"/>
          <w:b w:val="0"/>
          <w:i/>
          <w:strike w:val="0"/>
          <w:noProof w:val="0"/>
          <w:color w:val="000000"/>
          <w:position w:val="0"/>
          <w:sz w:val="20"/>
          <w:u w:val="none"/>
          <w:vertAlign w:val="baseline"/>
        </w:rPr>
        <w:t>include</w:t>
      </w:r>
      <w:r>
        <w:rPr>
          <w:rFonts w:ascii="times" w:eastAsia="times" w:hAnsi="times" w:cs="times"/>
          <w:b w:val="0"/>
          <w:i w:val="0"/>
          <w:strike w:val="0"/>
          <w:noProof w:val="0"/>
          <w:color w:val="000000"/>
          <w:position w:val="0"/>
          <w:sz w:val="20"/>
          <w:u w:val="none"/>
          <w:vertAlign w:val="baseline"/>
        </w:rPr>
        <w:t xml:space="preserve"> the "name and account" or "otherwise enable[] the servicer to identify" the name and account. </w:t>
      </w:r>
      <w:hyperlink r:id="rId14" w:history="1">
        <w:r>
          <w:rPr>
            <w:rFonts w:ascii="times" w:eastAsia="times" w:hAnsi="times" w:cs="times"/>
            <w:b w:val="0"/>
            <w:i w:val="0"/>
            <w:strike w:val="0"/>
            <w:noProof w:val="0"/>
            <w:color w:val="0077CC"/>
            <w:position w:val="0"/>
            <w:sz w:val="20"/>
            <w:u w:val="single"/>
            <w:shd w:val="clear" w:color="auto" w:fill="FFFFFF"/>
            <w:vertAlign w:val="baseline"/>
          </w:rPr>
          <w:t>§ 2605(e)(1)(B)(i)</w:t>
        </w:r>
      </w:hyperlink>
      <w:r>
        <w:rPr>
          <w:rFonts w:ascii="times" w:eastAsia="times" w:hAnsi="times" w:cs="times"/>
          <w:b w:val="0"/>
          <w:i w:val="0"/>
          <w:strike w:val="0"/>
          <w:noProof w:val="0"/>
          <w:color w:val="000000"/>
          <w:position w:val="0"/>
          <w:sz w:val="20"/>
          <w:u w:val="none"/>
          <w:vertAlign w:val="baseline"/>
        </w:rPr>
        <w:t xml:space="preserve">. But </w:t>
      </w:r>
      <w:hyperlink r:id="rId14" w:history="1">
        <w:r>
          <w:rPr>
            <w:rFonts w:ascii="times" w:eastAsia="times" w:hAnsi="times" w:cs="times"/>
            <w:b w:val="0"/>
            <w:i w:val="0"/>
            <w:strike w:val="0"/>
            <w:noProof w:val="0"/>
            <w:color w:val="0077CC"/>
            <w:position w:val="0"/>
            <w:sz w:val="20"/>
            <w:u w:val="single"/>
            <w:shd w:val="clear" w:color="auto" w:fill="FFFFFF"/>
            <w:vertAlign w:val="baseline"/>
          </w:rPr>
          <w:t>subsection (ii)</w:t>
        </w:r>
      </w:hyperlink>
      <w:r>
        <w:rPr>
          <w:rFonts w:ascii="times" w:eastAsia="times" w:hAnsi="times" w:cs="times"/>
          <w:b w:val="0"/>
          <w:i w:val="0"/>
          <w:strike w:val="0"/>
          <w:noProof w:val="0"/>
          <w:color w:val="000000"/>
          <w:position w:val="0"/>
          <w:sz w:val="20"/>
          <w:u w:val="none"/>
          <w:vertAlign w:val="baseline"/>
        </w:rPr>
        <w:t xml:space="preserve"> omits any language permitting the borrower to only provide clues that "otherwise enable the servicer to identify" the error or reasons for it. Instead, it requires that the "statement of reasons" for the belief of error must be </w:t>
      </w:r>
      <w:r>
        <w:rPr>
          <w:rFonts w:ascii="times" w:eastAsia="times" w:hAnsi="times" w:cs="times"/>
          <w:b w:val="0"/>
          <w:i/>
          <w:strike w:val="0"/>
          <w:noProof w:val="0"/>
          <w:color w:val="000000"/>
          <w:position w:val="0"/>
          <w:sz w:val="20"/>
          <w:u w:val="none"/>
          <w:vertAlign w:val="baseline"/>
        </w:rPr>
        <w:t>included</w:t>
      </w:r>
      <w:r>
        <w:rPr>
          <w:rFonts w:ascii="times" w:eastAsia="times" w:hAnsi="times" w:cs="times"/>
          <w:b w:val="0"/>
          <w:i w:val="0"/>
          <w:strike w:val="0"/>
          <w:noProof w:val="0"/>
          <w:color w:val="000000"/>
          <w:position w:val="0"/>
          <w:sz w:val="20"/>
          <w:u w:val="none"/>
          <w:vertAlign w:val="baseline"/>
        </w:rPr>
        <w:t xml:space="preserve">. </w:t>
      </w:r>
      <w:hyperlink r:id="rId14" w:history="1">
        <w:r>
          <w:rPr>
            <w:rFonts w:ascii="times" w:eastAsia="times" w:hAnsi="times" w:cs="times"/>
            <w:b w:val="0"/>
            <w:i w:val="0"/>
            <w:strike w:val="0"/>
            <w:noProof w:val="0"/>
            <w:color w:val="0077CC"/>
            <w:position w:val="0"/>
            <w:sz w:val="20"/>
            <w:u w:val="single"/>
            <w:shd w:val="clear" w:color="auto" w:fill="FFFFFF"/>
            <w:vertAlign w:val="baseline"/>
          </w:rPr>
          <w:t>§ 2605(e)(1)(B)(ii)</w:t>
        </w:r>
      </w:hyperlink>
      <w:r>
        <w:rPr>
          <w:rFonts w:ascii="times" w:eastAsia="times" w:hAnsi="times" w:cs="times"/>
          <w:b w:val="0"/>
          <w:i w:val="0"/>
          <w:strike w:val="0"/>
          <w:noProof w:val="0"/>
          <w:color w:val="000000"/>
          <w:position w:val="0"/>
          <w:sz w:val="20"/>
          <w:u w:val="none"/>
          <w:vertAlign w:val="baseline"/>
        </w:rPr>
        <w:t>.</w:t>
      </w:r>
      <w:r>
        <w:rPr>
          <w:rFonts w:ascii="times" w:eastAsia="times" w:hAnsi="times" w:cs="times"/>
          <w:vertAlign w:val="superscript"/>
        </w:rPr>
        <w:footnoteReference w:customMarkFollows="1" w:id="3"/>
        <w:t xml:space="preserve">*</w:t>
      </w:r>
    </w:p>
    <w:p>
      <w:pPr>
        <w:keepNext w:val="0"/>
        <w:widowControl w:val="0"/>
        <w:spacing w:before="240" w:after="0" w:line="260" w:lineRule="atLeast"/>
        <w:ind w:left="0" w:right="0" w:firstLine="0"/>
        <w:jc w:val="both"/>
      </w:pPr>
      <w:bookmarkStart w:id="108" w:name="Bookmark_para_46"/>
      <w:bookmarkEnd w:id="108"/>
      <w:r>
        <w:rPr>
          <w:rFonts w:ascii="times" w:eastAsia="times" w:hAnsi="times" w:cs="times"/>
          <w:b w:val="0"/>
          <w:i w:val="0"/>
          <w:strike w:val="0"/>
          <w:noProof w:val="0"/>
          <w:color w:val="000000"/>
          <w:position w:val="0"/>
          <w:sz w:val="20"/>
          <w:u w:val="none"/>
          <w:vertAlign w:val="baseline"/>
        </w:rPr>
        <w:t>A "qualified written request"</w:t>
      </w:r>
      <w:r>
        <w:rPr>
          <w:rFonts w:ascii="times" w:eastAsia="times" w:hAnsi="times" w:cs="times"/>
          <w:b/>
          <w:i w:val="0"/>
          <w:strike w:val="0"/>
          <w:noProof w:val="0"/>
          <w:color w:val="000000"/>
          <w:position w:val="0"/>
          <w:sz w:val="20"/>
          <w:u w:val="none"/>
          <w:vertAlign w:val="baseline"/>
        </w:rPr>
        <w:t> [*19] </w:t>
      </w:r>
      <w:r>
        <w:rPr>
          <w:rFonts w:ascii="times" w:eastAsia="times" w:hAnsi="times" w:cs="times"/>
          <w:b w:val="0"/>
          <w:i w:val="0"/>
          <w:strike w:val="0"/>
          <w:noProof w:val="0"/>
          <w:color w:val="000000"/>
          <w:position w:val="0"/>
          <w:sz w:val="20"/>
          <w:u w:val="none"/>
          <w:vertAlign w:val="baseline"/>
        </w:rPr>
        <w:t xml:space="preserve"> must include a "statement of the reasons for the belief of the borrower . . . that the account is in error." </w:t>
      </w:r>
      <w:hyperlink r:id="rId14" w:history="1">
        <w:r>
          <w:rPr>
            <w:rFonts w:ascii="times" w:eastAsia="times" w:hAnsi="times" w:cs="times"/>
            <w:b w:val="0"/>
            <w:i w:val="0"/>
            <w:strike w:val="0"/>
            <w:noProof w:val="0"/>
            <w:color w:val="0077CC"/>
            <w:position w:val="0"/>
            <w:sz w:val="20"/>
            <w:u w:val="single"/>
            <w:shd w:val="clear" w:color="auto" w:fill="FFFFFF"/>
            <w:vertAlign w:val="baseline"/>
          </w:rPr>
          <w:t>§ 2605(e)(1)(B)(ii)</w:t>
        </w:r>
      </w:hyperlink>
      <w:r>
        <w:rPr>
          <w:rFonts w:ascii="times" w:eastAsia="times" w:hAnsi="times" w:cs="times"/>
          <w:b w:val="0"/>
          <w:i w:val="0"/>
          <w:strike w:val="0"/>
          <w:noProof w:val="0"/>
          <w:color w:val="000000"/>
          <w:position w:val="0"/>
          <w:sz w:val="20"/>
          <w:u w:val="none"/>
          <w:vertAlign w:val="baseline"/>
        </w:rPr>
        <w:t>. Morgan's letter fails to identify what he believed the error to be and provides no statement of reasons for his belief. So I respectfully dissent in part.</w:t>
      </w:r>
    </w:p>
    <w:p/>
    <w:p>
      <w:pPr>
        <w:ind w:left="200"/>
      </w:pPr>
      <w:r>
        <w:br/>
      </w:r>
      <w:r>
        <w:pict>
          <v:line id="_x0000_s1028" style="position:absolute;z-index:251660288" from="0,10pt" to="512pt,10pt" strokecolor="black" strokeweight="1pt">
            <v:stroke linestyle="single"/>
          </v:line>
        </w:pict>
      </w:r>
      <w:r>
        <w:rPr>
          <w:rFonts w:ascii="times" w:eastAsia="times" w:hAnsi="times" w:cs="times"/>
          <w:b/>
          <w:color w:val="767676"/>
          <w:sz w:val="16"/>
        </w:rPr>
        <w:t>End of Document</w:t>
      </w:r>
    </w:p>
    <w:sectPr>
      <w:type w:val="continuous"/>
      <w:pgMar w:top="840" w:right="1000" w:bottom="840" w:left="1000" w:header="400" w:footer="400"/>
      <w:pgNumType w:fmt="decimal"/>
      <w:cols w:num="2" w:space="240" w:equalWidth="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0" w:type="dxa"/>
      <w:jc w:val="center"/>
      <w:tblBorders>
        <w:top w:val="nil"/>
        <w:left w:val="nil"/>
        <w:bottom w:val="nil"/>
        <w:right w:val="nil"/>
        <w:insideH w:val="nil"/>
        <w:insideV w:val="nil"/>
      </w:tblBorders>
      <w:tblLayout w:type="fixed"/>
      <w:tblCellMar>
        <w:left w:w="108" w:type="dxa"/>
        <w:right w:w="108" w:type="dxa"/>
      </w:tblCellMar>
    </w:tblPr>
    <w:tblGrid>
      <w:gridCol w:w="2600"/>
      <w:gridCol w:w="4880"/>
      <w:gridCol w:w="2600"/>
    </w:tblGrid>
    <w:tr>
      <w:tblPrEx>
        <w:tblW w:w="10080" w:type="dxa"/>
        <w:jc w:val="center"/>
        <w:tblBorders>
          <w:top w:val="nil"/>
          <w:left w:val="nil"/>
          <w:bottom w:val="nil"/>
          <w:right w:val="nil"/>
          <w:insideH w:val="nil"/>
          <w:insideV w:val="nil"/>
        </w:tblBorders>
        <w:tblLayout w:type="fixed"/>
        <w:tblCellMar>
          <w:left w:w="108" w:type="dxa"/>
          <w:right w:w="108" w:type="dxa"/>
        </w:tblCellMar>
      </w:tblPrEx>
      <w:trPr>
        <w:jc w:val="center"/>
      </w:trPr>
      <w:tc>
        <w:tcPr>
          <w:tcW w:w="2600" w:type="dxa"/>
          <w:tcMar>
            <w:top w:w="200" w:type="dxa"/>
          </w:tcMar>
          <w:vAlign w:val="center"/>
        </w:tcPr>
        <w:p/>
      </w:tc>
      <w:tc>
        <w:tcPr>
          <w:tcW w:w="4880" w:type="dxa"/>
          <w:tcMar>
            <w:top w:w="200" w:type="dxa"/>
          </w:tcMar>
          <w:vAlign w:val="center"/>
        </w:tcPr>
        <w:p>
          <w:pPr>
            <w:jc w:val="center"/>
          </w:pPr>
        </w:p>
        <w:p>
          <w:pPr>
            <w:jc w:val="center"/>
          </w:pPr>
          <w:r>
            <w:rPr>
              <w:rFonts w:ascii="arial" w:eastAsia="arial" w:hAnsi="arial" w:cs="arial"/>
              <w:sz w:val="20"/>
            </w:rPr>
            <w:t xml:space="preserve">Page </w:t>
          </w:r>
          <w:r>
            <w:rPr>
              <w:rFonts w:ascii="arial" w:eastAsia="arial" w:hAnsi="arial" w:cs="arial"/>
              <w:sz w:val="20"/>
            </w:rPr>
            <w:fldChar w:fldCharType="begin"/>
          </w:r>
          <w:r>
            <w:rPr>
              <w:rFonts w:ascii="arial" w:eastAsia="arial" w:hAnsi="arial" w:cs="arial"/>
              <w:sz w:val="20"/>
            </w:rPr>
            <w:instrText xml:space="preserve"> PAGE </w:instrText>
          </w:r>
          <w:r>
            <w:rPr>
              <w:rFonts w:ascii="arial" w:eastAsia="arial" w:hAnsi="arial" w:cs="arial"/>
              <w:sz w:val="20"/>
            </w:rPr>
            <w:fldChar w:fldCharType="separate"/>
          </w:r>
          <w:r>
            <w:rPr>
              <w:rFonts w:ascii="arial" w:eastAsia="arial" w:hAnsi="arial" w:cs="arial"/>
              <w:sz w:val="20"/>
            </w:rPr>
            <w:fldChar w:fldCharType="end"/>
          </w:r>
          <w:r>
            <w:rPr>
              <w:rFonts w:ascii="arial" w:eastAsia="arial" w:hAnsi="arial" w:cs="arial"/>
              <w:sz w:val="20"/>
            </w:rPr>
            <w:t xml:space="preserve"> of </w:t>
          </w:r>
          <w:r>
            <w:rPr>
              <w:rFonts w:ascii="arial" w:eastAsia="arial" w:hAnsi="arial" w:cs="arial"/>
              <w:sz w:val="20"/>
            </w:rPr>
            <w:fldChar w:fldCharType="begin"/>
          </w:r>
          <w:r>
            <w:rPr>
              <w:rFonts w:ascii="arial" w:eastAsia="arial" w:hAnsi="arial" w:cs="arial"/>
              <w:sz w:val="20"/>
            </w:rPr>
            <w:instrText xml:space="preserve"> NUMPAGES </w:instrText>
          </w:r>
          <w:r>
            <w:rPr>
              <w:rFonts w:ascii="arial" w:eastAsia="arial" w:hAnsi="arial" w:cs="arial"/>
              <w:sz w:val="20"/>
            </w:rPr>
            <w:fldChar w:fldCharType="separate"/>
          </w:r>
          <w:r>
            <w:rPr>
              <w:rFonts w:ascii="arial" w:eastAsia="arial" w:hAnsi="arial" w:cs="arial"/>
              <w:sz w:val="20"/>
            </w:rPr>
            <w:fldChar w:fldCharType="end"/>
          </w:r>
        </w:p>
      </w:tc>
      <w:tc>
        <w:tcPr>
          <w:tcW w:w="2600" w:type="dxa"/>
          <w:tcMar>
            <w:top w:w="200" w:type="dxa"/>
          </w:tcMar>
          <w:vAlign w:val="center"/>
        </w:tcP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20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 w:id="2">
    <w:p>
      <w:pPr>
        <w:keepNext w:val="0"/>
        <w:widowControl w:val="0"/>
        <w:spacing w:before="120" w:after="0" w:line="240" w:lineRule="atLeast"/>
        <w:ind w:left="0" w:right="0" w:firstLine="0"/>
        <w:jc w:val="both"/>
      </w:pPr>
      <w:r>
        <w:rPr>
          <w:rFonts w:ascii="times" w:eastAsia="times" w:hAnsi="times" w:cs="times"/>
          <w:b w:val="0"/>
          <w:i w:val="0"/>
          <w:strike w:val="0"/>
          <w:noProof w:val="0"/>
          <w:color w:val="000000"/>
          <w:position w:val="0"/>
          <w:sz w:val="18"/>
          <w:u w:val="none"/>
          <w:vertAlign w:val="superscript"/>
        </w:rPr>
        <w:t>* </w:t>
      </w:r>
      <w:bookmarkStart w:id="19" w:name="Bookmark_fnpara_1"/>
      <w:bookmarkEnd w:id="19"/>
      <w:r>
        <w:rPr>
          <w:rFonts w:ascii="times" w:eastAsia="times" w:hAnsi="times" w:cs="times"/>
          <w:b w:val="0"/>
          <w:i w:val="0"/>
          <w:strike w:val="0"/>
          <w:noProof w:val="0"/>
          <w:color w:val="000000"/>
          <w:position w:val="0"/>
          <w:sz w:val="18"/>
          <w:u w:val="none"/>
          <w:vertAlign w:val="baseline"/>
        </w:rPr>
        <w:t>Citations to the "J.A." refer to the Joint Appendix filed by the parties in this appeal.</w:t>
      </w:r>
    </w:p>
  </w:footnote>
  <w:footnote w:id="3">
    <w:p>
      <w:pPr>
        <w:keepNext w:val="0"/>
        <w:widowControl w:val="0"/>
        <w:spacing w:before="240" w:after="0" w:line="240" w:lineRule="atLeast"/>
        <w:ind w:left="0" w:right="0" w:firstLine="0"/>
        <w:jc w:val="both"/>
      </w:pPr>
      <w:r>
        <w:rPr>
          <w:rFonts w:ascii="times" w:eastAsia="times" w:hAnsi="times" w:cs="times"/>
          <w:b w:val="0"/>
          <w:i w:val="0"/>
          <w:strike w:val="0"/>
          <w:noProof w:val="0"/>
          <w:color w:val="000000"/>
          <w:position w:val="0"/>
          <w:sz w:val="18"/>
          <w:u w:val="none"/>
          <w:vertAlign w:val="superscript"/>
        </w:rPr>
        <w:t>* </w:t>
      </w:r>
      <w:bookmarkStart w:id="104" w:name="Bookmark_fnpara_2"/>
      <w:bookmarkEnd w:id="104"/>
      <w:bookmarkStart w:id="105" w:name="Bookmark_I3J46YPPSGS00007R300000R"/>
      <w:bookmarkEnd w:id="105"/>
      <w:bookmarkStart w:id="106" w:name="Bookmark_I64W34KT28T4T50040000400"/>
      <w:bookmarkEnd w:id="106"/>
      <w:r>
        <w:rPr>
          <w:rFonts w:ascii="times" w:eastAsia="times" w:hAnsi="times" w:cs="times"/>
          <w:b w:val="0"/>
          <w:i w:val="0"/>
          <w:strike w:val="0"/>
          <w:noProof w:val="0"/>
          <w:color w:val="000000"/>
          <w:position w:val="0"/>
          <w:sz w:val="18"/>
          <w:u w:val="none"/>
          <w:vertAlign w:val="baseline"/>
        </w:rPr>
        <w:t xml:space="preserve">Nor does the second clause of </w:t>
      </w:r>
      <w:hyperlink r:id="rId1" w:history="1">
        <w:r>
          <w:rPr>
            <w:rFonts w:ascii="times" w:eastAsia="times" w:hAnsi="times" w:cs="times"/>
            <w:b w:val="0"/>
            <w:i w:val="0"/>
            <w:strike w:val="0"/>
            <w:noProof w:val="0"/>
            <w:color w:val="0077CC"/>
            <w:position w:val="0"/>
            <w:sz w:val="18"/>
            <w:u w:val="single"/>
            <w:shd w:val="clear" w:color="auto" w:fill="FFFFFF"/>
            <w:vertAlign w:val="baseline"/>
          </w:rPr>
          <w:t>subsection (ii)</w:t>
        </w:r>
      </w:hyperlink>
      <w:r>
        <w:rPr>
          <w:rFonts w:ascii="times" w:eastAsia="times" w:hAnsi="times" w:cs="times"/>
          <w:b w:val="0"/>
          <w:i w:val="0"/>
          <w:strike w:val="0"/>
          <w:noProof w:val="0"/>
          <w:color w:val="000000"/>
          <w:position w:val="0"/>
          <w:sz w:val="18"/>
          <w:u w:val="none"/>
          <w:vertAlign w:val="baseline"/>
        </w:rPr>
        <w:t xml:space="preserve"> benefit Morgan. </w:t>
      </w:r>
      <w:hyperlink r:id="rId1" w:history="1">
        <w:r>
          <w:rPr>
            <w:rFonts w:ascii="times" w:eastAsia="times" w:hAnsi="times" w:cs="times"/>
            <w:b w:val="0"/>
            <w:i w:val="0"/>
            <w:strike w:val="0"/>
            <w:noProof w:val="0"/>
            <w:color w:val="0077CC"/>
            <w:position w:val="0"/>
            <w:sz w:val="18"/>
            <w:u w:val="single"/>
            <w:shd w:val="clear" w:color="auto" w:fill="FFFFFF"/>
            <w:vertAlign w:val="baseline"/>
          </w:rPr>
          <w:t>Subsection (ii)</w:t>
        </w:r>
      </w:hyperlink>
      <w:r>
        <w:rPr>
          <w:rFonts w:ascii="times" w:eastAsia="times" w:hAnsi="times" w:cs="times"/>
          <w:b w:val="0"/>
          <w:i w:val="0"/>
          <w:strike w:val="0"/>
          <w:noProof w:val="0"/>
          <w:color w:val="000000"/>
          <w:position w:val="0"/>
          <w:sz w:val="18"/>
          <w:u w:val="none"/>
          <w:vertAlign w:val="baseline"/>
        </w:rPr>
        <w:t xml:space="preserve"> may be satisfied by (A) including a statement of reasons for the belief of error, or (B) providing "sufficient detail" regarding "other information sought." </w:t>
      </w:r>
      <w:bookmarkStart w:id="107" w:name="Bookmark_I64W34KT28T4T50030000400"/>
      <w:bookmarkEnd w:id="107"/>
      <w:hyperlink r:id="rId2" w:history="1">
        <w:r>
          <w:rPr>
            <w:rFonts w:ascii="times" w:eastAsia="times" w:hAnsi="times" w:cs="times"/>
            <w:b w:val="0"/>
            <w:i/>
            <w:strike w:val="0"/>
            <w:noProof w:val="0"/>
            <w:color w:val="0077CC"/>
            <w:position w:val="0"/>
            <w:sz w:val="18"/>
            <w:u w:val="single"/>
            <w:shd w:val="clear" w:color="auto" w:fill="FFFFFF"/>
            <w:vertAlign w:val="baseline"/>
          </w:rPr>
          <w:t>Poindexter v. Mercedes-Benz Credit Corp.</w:t>
        </w:r>
      </w:hyperlink>
      <w:hyperlink r:id="rId2" w:history="1">
        <w:r>
          <w:rPr>
            <w:rFonts w:ascii="times" w:eastAsia="times" w:hAnsi="times" w:cs="times"/>
            <w:b w:val="0"/>
            <w:i w:val="0"/>
            <w:strike w:val="0"/>
            <w:noProof w:val="0"/>
            <w:color w:val="0077CC"/>
            <w:position w:val="0"/>
            <w:sz w:val="18"/>
            <w:u w:val="single"/>
            <w:shd w:val="clear" w:color="auto" w:fill="FFFFFF"/>
            <w:vertAlign w:val="baseline"/>
          </w:rPr>
          <w:t>, 792 F.3d 406, 413 (4th Cir. 2015)</w:t>
        </w:r>
      </w:hyperlink>
      <w:r>
        <w:rPr>
          <w:rFonts w:ascii="times" w:eastAsia="times" w:hAnsi="times" w:cs="times"/>
          <w:b w:val="0"/>
          <w:i w:val="0"/>
          <w:strike w:val="0"/>
          <w:noProof w:val="0"/>
          <w:color w:val="000000"/>
          <w:position w:val="0"/>
          <w:sz w:val="18"/>
          <w:u w:val="none"/>
          <w:vertAlign w:val="baseline"/>
        </w:rPr>
        <w:t xml:space="preserve"> (quoting </w:t>
      </w:r>
      <w:hyperlink r:id="rId1" w:history="1">
        <w:r>
          <w:rPr>
            <w:rFonts w:ascii="times" w:eastAsia="times" w:hAnsi="times" w:cs="times"/>
            <w:b w:val="0"/>
            <w:i w:val="0"/>
            <w:strike w:val="0"/>
            <w:noProof w:val="0"/>
            <w:color w:val="0077CC"/>
            <w:position w:val="0"/>
            <w:sz w:val="18"/>
            <w:u w:val="single"/>
            <w:shd w:val="clear" w:color="auto" w:fill="FFFFFF"/>
            <w:vertAlign w:val="baseline"/>
          </w:rPr>
          <w:t>§ 2605(e)(1)(B)(ii)</w:t>
        </w:r>
      </w:hyperlink>
      <w:r>
        <w:rPr>
          <w:rFonts w:ascii="times" w:eastAsia="times" w:hAnsi="times" w:cs="times"/>
          <w:b w:val="0"/>
          <w:i w:val="0"/>
          <w:strike w:val="0"/>
          <w:noProof w:val="0"/>
          <w:color w:val="000000"/>
          <w:position w:val="0"/>
          <w:sz w:val="18"/>
          <w:u w:val="none"/>
          <w:vertAlign w:val="baseline"/>
        </w:rPr>
        <w:t>). Morgan's letter does not seek any information, so the "sufficient detail" clause does not apply.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0" w:type="dxa"/>
      <w:jc w:val="center"/>
      <w:tblBorders>
        <w:top w:val="nil"/>
        <w:left w:val="nil"/>
        <w:bottom w:val="nil"/>
        <w:right w:val="nil"/>
        <w:insideH w:val="nil"/>
        <w:insideV w:val="nil"/>
      </w:tblBorders>
      <w:tblLayout w:type="fixed"/>
      <w:tblCellMar>
        <w:left w:w="108" w:type="dxa"/>
        <w:right w:w="108" w:type="dxa"/>
      </w:tblCellMar>
    </w:tblPr>
    <w:tblGrid>
      <w:gridCol w:w="10080"/>
    </w:tblGrid>
    <w:tr>
      <w:tblPrEx>
        <w:tblW w:w="10080" w:type="dxa"/>
        <w:jc w:val="center"/>
        <w:tblBorders>
          <w:top w:val="nil"/>
          <w:left w:val="nil"/>
          <w:bottom w:val="nil"/>
          <w:right w:val="nil"/>
          <w:insideH w:val="nil"/>
          <w:insideV w:val="nil"/>
        </w:tblBorders>
        <w:tblLayout w:type="fixed"/>
        <w:tblCellMar>
          <w:left w:w="108" w:type="dxa"/>
          <w:right w:w="108" w:type="dxa"/>
        </w:tblCellMar>
      </w:tblPrEx>
      <w:trPr>
        <w:jc w:val="center"/>
      </w:trPr>
      <w:tc>
        <w:tcPr>
          <w:tcW w:w="10080" w:type="dxa"/>
          <w:vAlign w:val="center"/>
        </w:tcPr>
        <w:p/>
      </w:tc>
    </w:tr>
    <w:tr>
      <w:tblPrEx>
        <w:tblW w:w="10080" w:type="dxa"/>
        <w:jc w:val="center"/>
        <w:tblLayout w:type="fixed"/>
        <w:tblCellMar>
          <w:left w:w="108" w:type="dxa"/>
          <w:right w:w="108" w:type="dxa"/>
        </w:tblCellMar>
      </w:tblPrEx>
      <w:trPr>
        <w:jc w:val="center"/>
      </w:trPr>
      <w:tc>
        <w:tcPr>
          <w:tcW w:w="10080" w:type="dxa"/>
        </w:tcPr>
        <w:p>
          <w:pPr>
            <w:spacing w:before="60" w:after="200"/>
            <w:jc w:val="center"/>
          </w:pPr>
          <w:r>
            <w:rPr>
              <w:rFonts w:ascii="times" w:eastAsia="times" w:hAnsi="times" w:cs="times"/>
              <w:sz w:val="20"/>
            </w:rPr>
            <w:t>Morgan v. Caliber Home Loans, Inc.</w:t>
          </w:r>
        </w:p>
      </w:tc>
    </w:tr>
  </w:tbl>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footnotePr>
    <w:footnote w:id="0"/>
    <w:footnote w:id="1"/>
  </w:foot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advance.lexis.com/api/document?collection=cases&amp;id=urn:contentItem:603T-2P41-F7ND-G3P6-00000-00&amp;context=1000516" TargetMode="External" /><Relationship Id="rId11" Type="http://schemas.openxmlformats.org/officeDocument/2006/relationships/hyperlink" Target="https://advance.lexis.com/api/document?collection=statutes-legislation&amp;id=urn:contentItem:8SF8-7342-D6RV-H2BW-00000-00&amp;context=1000516" TargetMode="External" /><Relationship Id="rId12" Type="http://schemas.openxmlformats.org/officeDocument/2006/relationships/hyperlink" Target="https://advance.lexis.com/api/document?collection=cases&amp;id=urn:contentItem:6309-0B61-F873-B067-00000-00&amp;context=1000516" TargetMode="External" /><Relationship Id="rId13" Type="http://schemas.openxmlformats.org/officeDocument/2006/relationships/hyperlink" Target="https://advance.lexis.com/api/document?collection=cases&amp;id=urn:contentItem:5JM9-B981-F04K-M1PS-00000-00&amp;context=1000516" TargetMode="External" /><Relationship Id="rId14" Type="http://schemas.openxmlformats.org/officeDocument/2006/relationships/hyperlink" Target="https://advance.lexis.com/api/document?collection=statutes-legislation&amp;id=urn:contentItem:8SF8-7342-D6RV-H2C1-00000-00&amp;context=1000516" TargetMode="External" /><Relationship Id="rId15" Type="http://schemas.openxmlformats.org/officeDocument/2006/relationships/hyperlink" Target="https://advance.lexis.com/api/document?collection=administrative-codes&amp;id=urn:contentItem:603F-5MF1-DYB7-W3TM-00000-00&amp;context=1000516" TargetMode="External" /><Relationship Id="rId16" Type="http://schemas.openxmlformats.org/officeDocument/2006/relationships/hyperlink" Target="https://advance.lexis.com/api/document?collection=cases&amp;id=urn:contentItem:5GCT-WKD1-F04K-M06Y-00000-00&amp;context=1000516" TargetMode="External" /><Relationship Id="rId17" Type="http://schemas.openxmlformats.org/officeDocument/2006/relationships/hyperlink" Target="https://advance.lexis.com/api/document?collection=statutes-legislation&amp;id=urn:contentItem:8SF8-7342-D6RV-H2C5-00000-00&amp;context=1000516" TargetMode="External" /><Relationship Id="rId18" Type="http://schemas.openxmlformats.org/officeDocument/2006/relationships/hyperlink" Target="https://advance.lexis.com/api/document?collection=administrative-codes&amp;id=urn:contentItem:603F-5MF1-DYB7-W3SK-00000-00&amp;context=1000516" TargetMode="External" /><Relationship Id="rId19" Type="http://schemas.openxmlformats.org/officeDocument/2006/relationships/hyperlink" Target="https://advance.lexis.com/api/document?collection=cases&amp;id=urn:contentItem:577T-5RY1-F04K-V237-00000-00&amp;context=1000516" TargetMode="External" /><Relationship Id="rId2" Type="http://schemas.openxmlformats.org/officeDocument/2006/relationships/settings" Target="settings.xml" /><Relationship Id="rId20" Type="http://schemas.openxmlformats.org/officeDocument/2006/relationships/hyperlink" Target="https://advance.lexis.com/api/document?collection=cases&amp;id=urn:contentItem:64H2-FS11-FCK4-G0HD-00000-00&amp;context=1000516" TargetMode="Externa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image" Target="media/image1.png" /><Relationship Id="rId9" Type="http://schemas.openxmlformats.org/officeDocument/2006/relationships/hyperlink" Target="https://advance.lexis.com/api/document?collection=cases&amp;id=urn:contentItem:64VG-18P1-JF75-M3BF-00000-00&amp;context=1000516"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advance.lexis.com/api/document?collection=statutes-legislation&amp;id=urn:contentItem:8SF8-7342-D6RV-H2C1-00000-00&amp;context=1000516" TargetMode="External" /><Relationship Id="rId2" Type="http://schemas.openxmlformats.org/officeDocument/2006/relationships/hyperlink" Target="https://advance.lexis.com/api/document?collection=cases&amp;id=urn:contentItem:5GCT-WKD1-F04K-M06Y-00000-00&amp;context=100051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Morgan v. Caliber Home Loans, Inc.</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168850124</vt:lpwstr>
  </property>
  <property fmtid="{D5CDD505-2E9C-101B-9397-08002B2CF9AE}" pid="3" name="LADocCount">
    <vt:lpwstr>1</vt:lpwstr>
  </property>
  <property fmtid="{D5CDD505-2E9C-101B-9397-08002B2CF9AE}" pid="4" name="UserPermID">
    <vt:lpwstr>urn:user:PA5500103</vt:lpwstr>
  </property>
</Properties>
</file>