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B2AE" w14:textId="77777777" w:rsidR="00252D50" w:rsidRDefault="00000000">
      <w:pPr>
        <w:jc w:val="center"/>
        <w:rPr>
          <w:rFonts w:cstheme="minorHAnsi"/>
          <w:b/>
          <w:bCs/>
        </w:rPr>
      </w:pPr>
      <w:r>
        <w:rPr>
          <w:rFonts w:cstheme="minorHAnsi"/>
          <w:b/>
          <w:bCs/>
        </w:rPr>
        <w:t>30th PECC General Meeting</w:t>
      </w:r>
    </w:p>
    <w:p w14:paraId="40397183" w14:textId="77777777" w:rsidR="00252D50" w:rsidRDefault="00000000">
      <w:pPr>
        <w:pStyle w:val="NoSpacing"/>
        <w:jc w:val="center"/>
        <w:rPr>
          <w:b/>
          <w:bCs/>
          <w:i/>
          <w:iCs/>
          <w:sz w:val="24"/>
          <w:szCs w:val="24"/>
        </w:rPr>
      </w:pPr>
      <w:r>
        <w:rPr>
          <w:b/>
          <w:bCs/>
          <w:i/>
          <w:iCs/>
          <w:sz w:val="24"/>
          <w:szCs w:val="24"/>
        </w:rPr>
        <w:t>Achieving a Sustainable and Inclusive Asia-Pacific through Innovation</w:t>
      </w:r>
    </w:p>
    <w:p w14:paraId="76C4802F" w14:textId="77777777" w:rsidR="00252D50" w:rsidRDefault="00252D50">
      <w:pPr>
        <w:pStyle w:val="NoSpacing"/>
        <w:jc w:val="center"/>
        <w:rPr>
          <w:b/>
          <w:bCs/>
          <w:i/>
          <w:iCs/>
        </w:rPr>
      </w:pPr>
    </w:p>
    <w:p w14:paraId="6B768F52" w14:textId="77777777" w:rsidR="00252D50" w:rsidRDefault="00000000">
      <w:pPr>
        <w:pStyle w:val="NoSpacing"/>
        <w:jc w:val="center"/>
      </w:pPr>
      <w:r>
        <w:t>August 15, 8:30 A.M. – 5:00 P.M. with reception to follow</w:t>
      </w:r>
    </w:p>
    <w:p w14:paraId="3E652D8E" w14:textId="77777777" w:rsidR="00252D50" w:rsidRDefault="00000000">
      <w:pPr>
        <w:pStyle w:val="NoSpacing"/>
        <w:jc w:val="center"/>
      </w:pPr>
      <w:r>
        <w:t>Downtown Seattle, Washington, USA, exact venue to be announced</w:t>
      </w:r>
    </w:p>
    <w:p w14:paraId="4A9188A9" w14:textId="77777777" w:rsidR="00252D50" w:rsidRDefault="00000000">
      <w:pPr>
        <w:pStyle w:val="NoSpacing"/>
        <w:jc w:val="center"/>
      </w:pPr>
      <w:r>
        <w:t xml:space="preserve">Event website: </w:t>
      </w:r>
      <w:hyperlink r:id="rId8" w:history="1">
        <w:r>
          <w:rPr>
            <w:rStyle w:val="Hyperlink"/>
          </w:rPr>
          <w:t>https://app.glueup.com/event/30th-pecc-general-meeting-73871/home.html</w:t>
        </w:r>
      </w:hyperlink>
    </w:p>
    <w:p w14:paraId="4C34A0B2" w14:textId="77777777" w:rsidR="00252D50" w:rsidRDefault="00252D50">
      <w:pPr>
        <w:spacing w:after="0"/>
        <w:jc w:val="center"/>
        <w:rPr>
          <w:i/>
          <w:iCs/>
          <w:color w:val="FF0000"/>
        </w:rPr>
      </w:pPr>
    </w:p>
    <w:p w14:paraId="1A05BCAF" w14:textId="77777777" w:rsidR="00252D50" w:rsidRDefault="00000000">
      <w:r>
        <w:t>The U.S. Committee for PECC will organize the Pacific Economic Cooperation Council’s (PECC) 30</w:t>
      </w:r>
      <w:r>
        <w:rPr>
          <w:vertAlign w:val="superscript"/>
        </w:rPr>
        <w:t>th</w:t>
      </w:r>
      <w:r>
        <w:t xml:space="preserve"> General Meeting alongside APEC’s third senior officials meeting and APEC Digital Month in Seattle, Washington, on August 15, 2023. As an official observer to the APEC process, PECC provides a third-party perspective to the region’s biggest challenges. The annual General Meeting is PECC’s primary forum for developing strategic perspectives and advice for APEC.</w:t>
      </w:r>
    </w:p>
    <w:p w14:paraId="69244E41" w14:textId="77777777" w:rsidR="00252D50" w:rsidRDefault="00000000">
      <w:pPr>
        <w:rPr>
          <w:color w:val="FF0000"/>
        </w:rPr>
      </w:pPr>
      <w:r>
        <w:t xml:space="preserve">The 2023 General Meeting will explore ways digital tools and new technologies can create innovative solutions to the region’s challenges and drive economic growth and discuss questions such as: How can policymakers and the private sector work together to ensure new technologies address shared crises like climate change? How should policymakers encourage the development and uptake of technologies to broaden workforce participation? How can APEC help SMEs leverage their unique markets and insights and use technology to compete in and serve global markets? Sessions will begin in the morning, followed by a PECC lunch with APEC Senior Officials in the early afternoon, a US-PECC and China PECC joint program on green growth cities in the late afternoon, and an evening reception. </w:t>
      </w:r>
    </w:p>
    <w:p w14:paraId="30DAF4CC" w14:textId="77777777" w:rsidR="00252D50" w:rsidRDefault="00000000">
      <w:pPr>
        <w:pStyle w:val="Header"/>
        <w:shd w:val="clear" w:color="auto" w:fill="189AD6"/>
        <w:tabs>
          <w:tab w:val="clear" w:pos="4680"/>
          <w:tab w:val="clear" w:pos="9360"/>
        </w:tabs>
        <w:spacing w:line="259" w:lineRule="auto"/>
        <w:rPr>
          <w:b/>
          <w:bCs/>
          <w:color w:val="FFFFFF" w:themeColor="background1"/>
          <w:sz w:val="28"/>
          <w:szCs w:val="28"/>
        </w:rPr>
      </w:pPr>
      <w:r>
        <w:rPr>
          <w:b/>
          <w:bCs/>
          <w:color w:val="FFFFFF" w:themeColor="background1"/>
          <w:sz w:val="28"/>
          <w:szCs w:val="28"/>
        </w:rPr>
        <w:t>PECC 30</w:t>
      </w:r>
      <w:r>
        <w:rPr>
          <w:b/>
          <w:bCs/>
          <w:color w:val="FFFFFF" w:themeColor="background1"/>
          <w:sz w:val="28"/>
          <w:szCs w:val="28"/>
          <w:vertAlign w:val="superscript"/>
        </w:rPr>
        <w:t>th</w:t>
      </w:r>
      <w:r>
        <w:rPr>
          <w:b/>
          <w:bCs/>
          <w:color w:val="FFFFFF" w:themeColor="background1"/>
          <w:sz w:val="28"/>
          <w:szCs w:val="28"/>
        </w:rPr>
        <w:t xml:space="preserve"> General Meeting Agenda, August 15</w:t>
      </w:r>
    </w:p>
    <w:p w14:paraId="5AEE0023" w14:textId="3CC71F10" w:rsidR="00252D50" w:rsidRDefault="00000000">
      <w:pPr>
        <w:pStyle w:val="Header"/>
        <w:shd w:val="clear" w:color="auto" w:fill="189AD6"/>
        <w:tabs>
          <w:tab w:val="clear" w:pos="4680"/>
          <w:tab w:val="clear" w:pos="9360"/>
        </w:tabs>
        <w:spacing w:line="259" w:lineRule="auto"/>
        <w:rPr>
          <w:b/>
          <w:bCs/>
          <w:i/>
          <w:iCs/>
          <w:color w:val="FFFFFF" w:themeColor="background1"/>
          <w:sz w:val="20"/>
          <w:szCs w:val="20"/>
        </w:rPr>
      </w:pPr>
      <w:r>
        <w:rPr>
          <w:b/>
          <w:bCs/>
          <w:i/>
          <w:iCs/>
          <w:color w:val="FFFFFF" w:themeColor="background1"/>
          <w:sz w:val="20"/>
          <w:szCs w:val="20"/>
        </w:rPr>
        <w:t>Seattle Convention Center Summit Building</w:t>
      </w:r>
      <w:r w:rsidR="0038757E">
        <w:rPr>
          <w:b/>
          <w:bCs/>
          <w:i/>
          <w:iCs/>
          <w:color w:val="FFFFFF" w:themeColor="background1"/>
          <w:sz w:val="20"/>
          <w:szCs w:val="20"/>
        </w:rPr>
        <w:t xml:space="preserve"> Room 327-329</w:t>
      </w:r>
    </w:p>
    <w:tbl>
      <w:tblPr>
        <w:tblStyle w:val="TableGrid"/>
        <w:tblW w:w="9355" w:type="dxa"/>
        <w:tblLook w:val="04A0" w:firstRow="1" w:lastRow="0" w:firstColumn="1" w:lastColumn="0" w:noHBand="0" w:noVBand="1"/>
      </w:tblPr>
      <w:tblGrid>
        <w:gridCol w:w="1435"/>
        <w:gridCol w:w="7920"/>
      </w:tblGrid>
      <w:tr w:rsidR="00252D50" w14:paraId="6AAC48B6" w14:textId="77777777">
        <w:tc>
          <w:tcPr>
            <w:tcW w:w="1435" w:type="dxa"/>
          </w:tcPr>
          <w:p w14:paraId="77882A3C" w14:textId="77777777" w:rsidR="00252D50" w:rsidRDefault="00000000">
            <w:pPr>
              <w:pStyle w:val="Heading2"/>
            </w:pPr>
            <w:r>
              <w:t>Time</w:t>
            </w:r>
          </w:p>
        </w:tc>
        <w:tc>
          <w:tcPr>
            <w:tcW w:w="7920" w:type="dxa"/>
          </w:tcPr>
          <w:p w14:paraId="3DC932BD" w14:textId="77777777" w:rsidR="00252D50" w:rsidRDefault="00000000">
            <w:pPr>
              <w:pStyle w:val="Heading2"/>
            </w:pPr>
            <w:r>
              <w:t>Session</w:t>
            </w:r>
          </w:p>
        </w:tc>
      </w:tr>
      <w:tr w:rsidR="00252D50" w14:paraId="5E345C9C" w14:textId="77777777">
        <w:tc>
          <w:tcPr>
            <w:tcW w:w="1435" w:type="dxa"/>
          </w:tcPr>
          <w:p w14:paraId="6E6E55F7" w14:textId="77777777" w:rsidR="00252D50" w:rsidRDefault="00000000">
            <w:pPr>
              <w:spacing w:after="0" w:line="240" w:lineRule="auto"/>
            </w:pPr>
            <w:r>
              <w:t xml:space="preserve">8:30 A.M. </w:t>
            </w:r>
          </w:p>
          <w:p w14:paraId="19E4DB7F" w14:textId="77777777" w:rsidR="00252D50" w:rsidRDefault="00252D50">
            <w:pPr>
              <w:pStyle w:val="Header"/>
              <w:tabs>
                <w:tab w:val="clear" w:pos="4680"/>
                <w:tab w:val="clear" w:pos="9360"/>
              </w:tabs>
            </w:pPr>
          </w:p>
        </w:tc>
        <w:tc>
          <w:tcPr>
            <w:tcW w:w="7920" w:type="dxa"/>
          </w:tcPr>
          <w:p w14:paraId="7BC546DD" w14:textId="7897CAC7" w:rsidR="00252D50" w:rsidRDefault="00000000">
            <w:pPr>
              <w:pStyle w:val="Heading2"/>
              <w:rPr>
                <w:b w:val="0"/>
                <w:bCs w:val="0"/>
              </w:rPr>
            </w:pPr>
            <w:r>
              <w:rPr>
                <w:b w:val="0"/>
                <w:bCs w:val="0"/>
              </w:rPr>
              <w:t xml:space="preserve">PECC General Meeting Event check-in </w:t>
            </w:r>
            <w:r w:rsidR="00C61F36">
              <w:rPr>
                <w:b w:val="0"/>
                <w:bCs w:val="0"/>
              </w:rPr>
              <w:t>with c</w:t>
            </w:r>
            <w:r>
              <w:rPr>
                <w:b w:val="0"/>
                <w:bCs w:val="0"/>
              </w:rPr>
              <w:t>offee</w:t>
            </w:r>
            <w:r w:rsidR="00C61F36">
              <w:rPr>
                <w:b w:val="0"/>
                <w:bCs w:val="0"/>
              </w:rPr>
              <w:t xml:space="preserve"> and light breakfast </w:t>
            </w:r>
          </w:p>
          <w:p w14:paraId="5A3C812C" w14:textId="77777777" w:rsidR="00252D50" w:rsidRDefault="00252D50">
            <w:pPr>
              <w:spacing w:after="0" w:line="240" w:lineRule="auto"/>
            </w:pPr>
          </w:p>
        </w:tc>
      </w:tr>
      <w:tr w:rsidR="00252D50" w14:paraId="2D95F922" w14:textId="77777777">
        <w:tc>
          <w:tcPr>
            <w:tcW w:w="1435" w:type="dxa"/>
          </w:tcPr>
          <w:p w14:paraId="19D1AE88" w14:textId="77777777" w:rsidR="00252D50" w:rsidRDefault="00000000">
            <w:pPr>
              <w:spacing w:after="0" w:line="240" w:lineRule="auto"/>
            </w:pPr>
            <w:r>
              <w:t xml:space="preserve">9:00 A.M. </w:t>
            </w:r>
          </w:p>
        </w:tc>
        <w:tc>
          <w:tcPr>
            <w:tcW w:w="7920" w:type="dxa"/>
          </w:tcPr>
          <w:p w14:paraId="1C21536D" w14:textId="77777777" w:rsidR="00252D50" w:rsidRDefault="00000000">
            <w:pPr>
              <w:pStyle w:val="Heading2"/>
              <w:rPr>
                <w:b w:val="0"/>
                <w:bCs w:val="0"/>
              </w:rPr>
            </w:pPr>
            <w:r>
              <w:rPr>
                <w:b w:val="0"/>
                <w:bCs w:val="0"/>
              </w:rPr>
              <w:t xml:space="preserve">Welcome and Program Overview </w:t>
            </w:r>
          </w:p>
          <w:p w14:paraId="458A4308" w14:textId="77777777" w:rsidR="00252D50" w:rsidRDefault="00252D50">
            <w:pPr>
              <w:spacing w:after="0" w:line="240" w:lineRule="auto"/>
            </w:pPr>
          </w:p>
          <w:p w14:paraId="643A59DA" w14:textId="77777777" w:rsidR="00252D50" w:rsidRDefault="00000000">
            <w:pPr>
              <w:pStyle w:val="ListParagraph"/>
              <w:numPr>
                <w:ilvl w:val="0"/>
                <w:numId w:val="1"/>
              </w:numPr>
              <w:spacing w:after="0" w:line="240" w:lineRule="auto"/>
            </w:pPr>
            <w:r>
              <w:rPr>
                <w:b/>
                <w:bCs/>
              </w:rPr>
              <w:t>Richard Cantor</w:t>
            </w:r>
            <w:r>
              <w:t>, Chair, U.S. Pacific Economic Cooperation Council, Co-Chair, Pacific Economic Cooperation Council, and Vice Chair, Moody’s Investors Service</w:t>
            </w:r>
          </w:p>
        </w:tc>
      </w:tr>
      <w:tr w:rsidR="00252D50" w14:paraId="469289ED" w14:textId="77777777">
        <w:tc>
          <w:tcPr>
            <w:tcW w:w="1435" w:type="dxa"/>
          </w:tcPr>
          <w:p w14:paraId="6D834745" w14:textId="77777777" w:rsidR="00252D50" w:rsidRDefault="00000000">
            <w:pPr>
              <w:spacing w:after="0" w:line="240" w:lineRule="auto"/>
            </w:pPr>
            <w:r>
              <w:t xml:space="preserve">9:05 A.M. – 9:25 A.M. </w:t>
            </w:r>
          </w:p>
        </w:tc>
        <w:tc>
          <w:tcPr>
            <w:tcW w:w="7920" w:type="dxa"/>
          </w:tcPr>
          <w:p w14:paraId="60520B90" w14:textId="77777777" w:rsidR="00252D50" w:rsidRDefault="00000000">
            <w:pPr>
              <w:pStyle w:val="Heading2"/>
              <w:rPr>
                <w:b w:val="0"/>
                <w:bCs w:val="0"/>
              </w:rPr>
            </w:pPr>
            <w:r>
              <w:rPr>
                <w:b w:val="0"/>
                <w:bCs w:val="0"/>
              </w:rPr>
              <w:t xml:space="preserve">Opening Remarks </w:t>
            </w:r>
          </w:p>
        </w:tc>
      </w:tr>
      <w:tr w:rsidR="00252D50" w14:paraId="62291E97" w14:textId="77777777">
        <w:trPr>
          <w:trHeight w:val="1772"/>
        </w:trPr>
        <w:tc>
          <w:tcPr>
            <w:tcW w:w="1435" w:type="dxa"/>
          </w:tcPr>
          <w:p w14:paraId="7EC2112D" w14:textId="77777777" w:rsidR="00252D50" w:rsidRDefault="00000000">
            <w:pPr>
              <w:spacing w:after="0" w:line="240" w:lineRule="auto"/>
            </w:pPr>
            <w:r>
              <w:lastRenderedPageBreak/>
              <w:t xml:space="preserve">9:20 – 10:15 A.M. (55 minutes) </w:t>
            </w:r>
          </w:p>
        </w:tc>
        <w:tc>
          <w:tcPr>
            <w:tcW w:w="7920" w:type="dxa"/>
          </w:tcPr>
          <w:p w14:paraId="7619E182" w14:textId="77777777" w:rsidR="00252D50" w:rsidRDefault="00000000">
            <w:pPr>
              <w:pStyle w:val="Heading2"/>
            </w:pPr>
            <w:r>
              <w:t>Discussion 1.</w:t>
            </w:r>
            <w:r>
              <w:rPr>
                <w:b w:val="0"/>
                <w:bCs w:val="0"/>
              </w:rPr>
              <w:t xml:space="preserve"> </w:t>
            </w:r>
            <w:r>
              <w:t>Digital solutions to environmental challenges and climate change</w:t>
            </w:r>
          </w:p>
          <w:p w14:paraId="59ED234C" w14:textId="77777777" w:rsidR="00252D50" w:rsidRDefault="00252D50">
            <w:pPr>
              <w:spacing w:after="0" w:line="240" w:lineRule="auto"/>
            </w:pPr>
          </w:p>
          <w:p w14:paraId="79700A2D" w14:textId="77777777" w:rsidR="00252D50" w:rsidRDefault="00000000">
            <w:pPr>
              <w:spacing w:after="0" w:line="240" w:lineRule="auto"/>
            </w:pPr>
            <w:r>
              <w:t xml:space="preserve">With the adoption of the Putrajaya Vision in 2020, promoting sustainability and addressing climate change have become top APEC priorities. This panel will explore how digital technologies can address climate change challenges and reduce greenhouse gas emissions through maximizing electricity grid efficiency, effectively measuring greenhouse gas emissions, and using artificial intelligence to guide actions and policymaking. Panelists will share examples of digital solutions that are already making a difference in various sectors, such as energy, transportation, manufacturing, and agriculture. </w:t>
            </w:r>
          </w:p>
          <w:p w14:paraId="5A434BF2" w14:textId="77777777" w:rsidR="00252D50" w:rsidRDefault="00252D50">
            <w:pPr>
              <w:spacing w:after="0" w:line="240" w:lineRule="auto"/>
            </w:pPr>
          </w:p>
          <w:p w14:paraId="62C55675" w14:textId="77777777" w:rsidR="00252D50" w:rsidRDefault="00000000">
            <w:pPr>
              <w:pStyle w:val="ListParagraph"/>
              <w:numPr>
                <w:ilvl w:val="0"/>
                <w:numId w:val="2"/>
              </w:numPr>
              <w:spacing w:after="0" w:line="240" w:lineRule="auto"/>
            </w:pPr>
            <w:r>
              <w:rPr>
                <w:b/>
                <w:bCs/>
              </w:rPr>
              <w:t>Kenji E. Kushida</w:t>
            </w:r>
            <w:r>
              <w:t>, Senior Fellow at the Carnegie Endowment for International Peace Asia Program</w:t>
            </w:r>
          </w:p>
          <w:p w14:paraId="4792B4A6" w14:textId="77777777" w:rsidR="00252D50" w:rsidRDefault="00000000">
            <w:pPr>
              <w:pStyle w:val="ListParagraph"/>
              <w:numPr>
                <w:ilvl w:val="0"/>
                <w:numId w:val="2"/>
              </w:numPr>
              <w:spacing w:after="0" w:line="240" w:lineRule="auto"/>
            </w:pPr>
            <w:r>
              <w:t xml:space="preserve">Additional speakers to be confirmed </w:t>
            </w:r>
          </w:p>
        </w:tc>
      </w:tr>
      <w:tr w:rsidR="00252D50" w14:paraId="320A8AC9" w14:textId="77777777">
        <w:tc>
          <w:tcPr>
            <w:tcW w:w="1435" w:type="dxa"/>
          </w:tcPr>
          <w:p w14:paraId="5E878256" w14:textId="77777777" w:rsidR="00252D50" w:rsidRDefault="00000000">
            <w:pPr>
              <w:spacing w:after="0" w:line="240" w:lineRule="auto"/>
            </w:pPr>
            <w:r>
              <w:t xml:space="preserve">10:15 – 11:10 A.M. (55 minutes) </w:t>
            </w:r>
          </w:p>
        </w:tc>
        <w:tc>
          <w:tcPr>
            <w:tcW w:w="7920" w:type="dxa"/>
          </w:tcPr>
          <w:p w14:paraId="0FA00446" w14:textId="77777777" w:rsidR="00252D50" w:rsidRDefault="00000000">
            <w:pPr>
              <w:pStyle w:val="Heading2"/>
            </w:pPr>
            <w:r>
              <w:t>Discussion 2. Technology to broaden workforce participation</w:t>
            </w:r>
          </w:p>
          <w:p w14:paraId="698D5067" w14:textId="6D527713" w:rsidR="00C61F36" w:rsidRDefault="00000000" w:rsidP="00C61F36">
            <w:pPr>
              <w:pStyle w:val="Heading2"/>
              <w:rPr>
                <w:b w:val="0"/>
                <w:bCs w:val="0"/>
              </w:rPr>
            </w:pPr>
            <w:r>
              <w:rPr>
                <w:b w:val="0"/>
                <w:bCs w:val="0"/>
              </w:rPr>
              <w:t xml:space="preserve">As leading generators and adopters of digitally-enabled technologies, Asia-Pacific economies need to mitigate the disruptive effects of new innovations, particularly for marginalized members of their societies. Panelists will explore the impacts of new technologies on workers in the region and how new, digitally-enabled technologies and business models, workforce development programs, and software and services that incorporate accessibility by design can ease workforce transitions and open doors to jobs.  </w:t>
            </w:r>
          </w:p>
          <w:p w14:paraId="6431672D" w14:textId="4BBD0A43" w:rsidR="00C61F36" w:rsidRPr="00C61F36" w:rsidRDefault="00C61F36" w:rsidP="00C61F36">
            <w:r>
              <w:t xml:space="preserve">Speakers: </w:t>
            </w:r>
          </w:p>
          <w:p w14:paraId="45EBDA1E" w14:textId="12F01D2B" w:rsidR="00252D50" w:rsidRDefault="00C61F36" w:rsidP="00C61F36">
            <w:pPr>
              <w:pStyle w:val="ListParagraph"/>
              <w:numPr>
                <w:ilvl w:val="0"/>
                <w:numId w:val="11"/>
              </w:numPr>
            </w:pPr>
            <w:r w:rsidRPr="008E1174">
              <w:rPr>
                <w:b/>
                <w:bCs/>
              </w:rPr>
              <w:t>Professor Kar Yan Tam</w:t>
            </w:r>
            <w:r w:rsidRPr="008E1174">
              <w:t>, Hong Kong University of Science and Technology</w:t>
            </w:r>
          </w:p>
          <w:p w14:paraId="36DCA138" w14:textId="0A114758" w:rsidR="00C61F36" w:rsidRDefault="00C61F36" w:rsidP="00C61F36">
            <w:pPr>
              <w:pStyle w:val="ListParagraph"/>
              <w:numPr>
                <w:ilvl w:val="0"/>
                <w:numId w:val="11"/>
              </w:numPr>
            </w:pPr>
            <w:r w:rsidRPr="00C61F36">
              <w:t xml:space="preserve">Additional speakers to be confirmed </w:t>
            </w:r>
          </w:p>
          <w:p w14:paraId="041B9AB3" w14:textId="77777777" w:rsidR="00252D50" w:rsidRDefault="00252D50">
            <w:pPr>
              <w:pStyle w:val="ListParagraph"/>
              <w:spacing w:after="0" w:line="240" w:lineRule="auto"/>
            </w:pPr>
          </w:p>
        </w:tc>
      </w:tr>
      <w:tr w:rsidR="00252D50" w14:paraId="6B49DD0C" w14:textId="77777777">
        <w:tc>
          <w:tcPr>
            <w:tcW w:w="1435" w:type="dxa"/>
          </w:tcPr>
          <w:p w14:paraId="597B1EFA" w14:textId="77777777" w:rsidR="00252D50" w:rsidRDefault="00000000">
            <w:pPr>
              <w:spacing w:after="0" w:line="240" w:lineRule="auto"/>
            </w:pPr>
            <w:r>
              <w:t xml:space="preserve">11:10 – 11:30 A.M. </w:t>
            </w:r>
          </w:p>
        </w:tc>
        <w:tc>
          <w:tcPr>
            <w:tcW w:w="7920" w:type="dxa"/>
          </w:tcPr>
          <w:p w14:paraId="6360547B" w14:textId="77777777" w:rsidR="00252D50" w:rsidRDefault="00000000">
            <w:pPr>
              <w:pStyle w:val="Heading2"/>
              <w:rPr>
                <w:b w:val="0"/>
                <w:bCs w:val="0"/>
              </w:rPr>
            </w:pPr>
            <w:r>
              <w:rPr>
                <w:b w:val="0"/>
                <w:bCs w:val="0"/>
              </w:rPr>
              <w:t>Coffee Break</w:t>
            </w:r>
          </w:p>
          <w:p w14:paraId="0195CF99" w14:textId="77777777" w:rsidR="00252D50" w:rsidRDefault="00252D50">
            <w:pPr>
              <w:spacing w:after="0" w:line="240" w:lineRule="auto"/>
            </w:pPr>
          </w:p>
        </w:tc>
      </w:tr>
      <w:tr w:rsidR="00252D50" w14:paraId="1ACC8201" w14:textId="77777777">
        <w:tc>
          <w:tcPr>
            <w:tcW w:w="1435" w:type="dxa"/>
          </w:tcPr>
          <w:p w14:paraId="0BB2059B" w14:textId="77777777" w:rsidR="00252D50" w:rsidRDefault="00000000">
            <w:pPr>
              <w:spacing w:after="0" w:line="240" w:lineRule="auto"/>
            </w:pPr>
            <w:r>
              <w:t xml:space="preserve">11:30 A.M. – 12:25 P.M. (55 minutes) </w:t>
            </w:r>
          </w:p>
        </w:tc>
        <w:tc>
          <w:tcPr>
            <w:tcW w:w="7920" w:type="dxa"/>
          </w:tcPr>
          <w:p w14:paraId="478DCE12" w14:textId="77777777" w:rsidR="00252D50" w:rsidRDefault="00000000">
            <w:pPr>
              <w:pStyle w:val="Heading2"/>
            </w:pPr>
            <w:r>
              <w:t>Discussion 3.</w:t>
            </w:r>
            <w:r>
              <w:rPr>
                <w:b w:val="0"/>
                <w:bCs w:val="0"/>
              </w:rPr>
              <w:t xml:space="preserve"> </w:t>
            </w:r>
            <w:r>
              <w:t>Digital tools to enable SME, access to global markets and services</w:t>
            </w:r>
          </w:p>
          <w:p w14:paraId="26275C50" w14:textId="77777777" w:rsidR="00252D50" w:rsidRDefault="00252D50">
            <w:pPr>
              <w:spacing w:after="0" w:line="240" w:lineRule="auto"/>
            </w:pPr>
          </w:p>
          <w:p w14:paraId="4F0D1F63" w14:textId="77777777" w:rsidR="00252D50" w:rsidRDefault="00000000">
            <w:pPr>
              <w:spacing w:after="0" w:line="240" w:lineRule="auto"/>
            </w:pPr>
            <w:r>
              <w:t xml:space="preserve">Small and medium sized enterprises (SMEs) comprise the vast majority of businesses in APEC but face some of the toughest challenges including access to finance and time and resource constraints. Digitalization enables small businesses to access new markets, target new customers, automate processes, and improve efficiencies but can also expose companies with limited resources to threats including cyberattacks. In this panel, we will explore how small businesses can leverage digital tools such as cloud, social media, e-commerce, and online marketing to solve existing business </w:t>
            </w:r>
            <w:r>
              <w:lastRenderedPageBreak/>
              <w:t xml:space="preserve">problems and stay competitive in a rapidly changing world to sell goods and services and how policy makers can better-protect </w:t>
            </w:r>
            <w:r>
              <w:rPr>
                <w:rFonts w:hint="eastAsia"/>
                <w:lang w:eastAsia="zh-CN"/>
              </w:rPr>
              <w:t>s</w:t>
            </w:r>
            <w:r>
              <w:t xml:space="preserve">mall businesses from cyberattacks. </w:t>
            </w:r>
          </w:p>
          <w:p w14:paraId="385B335B" w14:textId="77777777" w:rsidR="00E00A42" w:rsidRDefault="00E00A42">
            <w:pPr>
              <w:spacing w:after="0" w:line="240" w:lineRule="auto"/>
            </w:pPr>
          </w:p>
          <w:p w14:paraId="051EED38" w14:textId="40139A35" w:rsidR="00E00A42" w:rsidRDefault="00E00A42" w:rsidP="00E00A42">
            <w:pPr>
              <w:pStyle w:val="ListParagraph"/>
              <w:numPr>
                <w:ilvl w:val="0"/>
                <w:numId w:val="13"/>
              </w:numPr>
              <w:spacing w:after="0" w:line="240" w:lineRule="auto"/>
            </w:pPr>
            <w:r w:rsidRPr="00E00A42">
              <w:rPr>
                <w:b/>
                <w:bCs/>
              </w:rPr>
              <w:t>James Bledsoe</w:t>
            </w:r>
            <w:r>
              <w:t>, eCommerce Solutions Center Director, Senior International Trade Specialist, U.S. Commercial Service, U.S. Strategy &amp; Innovation Group, International Trade Administration of the U.S. Department of Commerce</w:t>
            </w:r>
          </w:p>
          <w:p w14:paraId="337D4E6C" w14:textId="689A5D31" w:rsidR="00E00A42" w:rsidRPr="00E00A42" w:rsidRDefault="00E00A42" w:rsidP="00E00A42">
            <w:pPr>
              <w:pStyle w:val="ListParagraph"/>
              <w:numPr>
                <w:ilvl w:val="0"/>
                <w:numId w:val="13"/>
              </w:numPr>
              <w:spacing w:after="0" w:line="240" w:lineRule="auto"/>
            </w:pPr>
            <w:r w:rsidRPr="00E00A42">
              <w:t xml:space="preserve">Other speakers to be confirmed </w:t>
            </w:r>
          </w:p>
          <w:p w14:paraId="4579E6E4" w14:textId="77777777" w:rsidR="00252D50" w:rsidRDefault="00252D50">
            <w:pPr>
              <w:spacing w:after="0" w:line="240" w:lineRule="auto"/>
            </w:pPr>
          </w:p>
          <w:p w14:paraId="709B8F11" w14:textId="77777777" w:rsidR="00252D50" w:rsidRDefault="00252D50">
            <w:pPr>
              <w:pStyle w:val="ListParagraph"/>
              <w:spacing w:after="0" w:line="240" w:lineRule="auto"/>
            </w:pPr>
          </w:p>
        </w:tc>
      </w:tr>
      <w:tr w:rsidR="00252D50" w14:paraId="789E4B5F" w14:textId="77777777">
        <w:tc>
          <w:tcPr>
            <w:tcW w:w="1435" w:type="dxa"/>
          </w:tcPr>
          <w:p w14:paraId="32A41989" w14:textId="77777777" w:rsidR="00252D50" w:rsidRDefault="00000000">
            <w:pPr>
              <w:spacing w:after="0" w:line="240" w:lineRule="auto"/>
            </w:pPr>
            <w:r>
              <w:lastRenderedPageBreak/>
              <w:t xml:space="preserve">12:25 – 12:40 P.M. </w:t>
            </w:r>
          </w:p>
        </w:tc>
        <w:tc>
          <w:tcPr>
            <w:tcW w:w="7920" w:type="dxa"/>
          </w:tcPr>
          <w:p w14:paraId="0CABE4B5" w14:textId="77777777" w:rsidR="00252D50" w:rsidRDefault="00000000">
            <w:pPr>
              <w:pStyle w:val="Heading2"/>
              <w:rPr>
                <w:b w:val="0"/>
                <w:bCs w:val="0"/>
              </w:rPr>
            </w:pPr>
            <w:r>
              <w:rPr>
                <w:b w:val="0"/>
                <w:bCs w:val="0"/>
              </w:rPr>
              <w:t>Delegates are seated for lunch</w:t>
            </w:r>
          </w:p>
          <w:p w14:paraId="5C7466F2" w14:textId="3B73BDDE" w:rsidR="0038757E" w:rsidRPr="0038757E" w:rsidRDefault="0038757E" w:rsidP="0038757E">
            <w:r>
              <w:t>Lunch will be held at the Seattle Convention Center Summit in room “Flex C3”</w:t>
            </w:r>
          </w:p>
        </w:tc>
      </w:tr>
      <w:tr w:rsidR="00252D50" w14:paraId="1AD693DB" w14:textId="77777777">
        <w:tc>
          <w:tcPr>
            <w:tcW w:w="1435" w:type="dxa"/>
          </w:tcPr>
          <w:p w14:paraId="6BBE6635" w14:textId="77777777" w:rsidR="00252D50" w:rsidRDefault="00000000">
            <w:pPr>
              <w:spacing w:after="0" w:line="240" w:lineRule="auto"/>
            </w:pPr>
            <w:r>
              <w:t>12:40 P.M. – 12:45 P.M.</w:t>
            </w:r>
          </w:p>
        </w:tc>
        <w:tc>
          <w:tcPr>
            <w:tcW w:w="7920" w:type="dxa"/>
          </w:tcPr>
          <w:p w14:paraId="0263F246" w14:textId="77777777" w:rsidR="00252D50" w:rsidRDefault="00000000">
            <w:pPr>
              <w:pStyle w:val="Heading2"/>
            </w:pPr>
            <w:r>
              <w:t xml:space="preserve">Luncheon Welcome </w:t>
            </w:r>
          </w:p>
          <w:p w14:paraId="4F521403" w14:textId="77777777" w:rsidR="00252D50" w:rsidRDefault="00000000">
            <w:pPr>
              <w:pStyle w:val="Heading2"/>
              <w:numPr>
                <w:ilvl w:val="0"/>
                <w:numId w:val="3"/>
              </w:numPr>
            </w:pPr>
            <w:r>
              <w:t>Richard Cantor</w:t>
            </w:r>
            <w:r>
              <w:rPr>
                <w:b w:val="0"/>
                <w:bCs w:val="0"/>
              </w:rPr>
              <w:t>,</w:t>
            </w:r>
            <w:r>
              <w:t xml:space="preserve"> </w:t>
            </w:r>
            <w:r>
              <w:rPr>
                <w:b w:val="0"/>
                <w:bCs w:val="0"/>
              </w:rPr>
              <w:t>Chair, U.S. Pacific Economic Cooperation Council, Co-Chair, Pacific Economic Cooperation Council, and Vice Chair, Moody’s Investors Service</w:t>
            </w:r>
          </w:p>
        </w:tc>
      </w:tr>
      <w:tr w:rsidR="00252D50" w14:paraId="399560A5" w14:textId="77777777">
        <w:tc>
          <w:tcPr>
            <w:tcW w:w="1435" w:type="dxa"/>
          </w:tcPr>
          <w:p w14:paraId="34F2FE18" w14:textId="77777777" w:rsidR="00252D50" w:rsidRDefault="00000000">
            <w:pPr>
              <w:spacing w:after="0" w:line="240" w:lineRule="auto"/>
            </w:pPr>
            <w:r>
              <w:t>1:15 P.M. – 1:20 P.M.</w:t>
            </w:r>
          </w:p>
        </w:tc>
        <w:tc>
          <w:tcPr>
            <w:tcW w:w="7920" w:type="dxa"/>
          </w:tcPr>
          <w:p w14:paraId="690AA7C6" w14:textId="77777777" w:rsidR="00252D50" w:rsidRDefault="00000000">
            <w:pPr>
              <w:pStyle w:val="Heading2"/>
            </w:pPr>
            <w:r>
              <w:t xml:space="preserve">Luncheon Panel Introduction </w:t>
            </w:r>
          </w:p>
          <w:p w14:paraId="58D33497" w14:textId="77777777" w:rsidR="00252D50" w:rsidRDefault="00000000">
            <w:pPr>
              <w:pStyle w:val="ListParagraph"/>
              <w:numPr>
                <w:ilvl w:val="0"/>
                <w:numId w:val="3"/>
              </w:numPr>
              <w:spacing w:after="0" w:line="240" w:lineRule="auto"/>
            </w:pPr>
            <w:r>
              <w:t>Matt Murray, U.S. APEC Senior Official, U.S. Department of State</w:t>
            </w:r>
          </w:p>
        </w:tc>
      </w:tr>
      <w:tr w:rsidR="00252D50" w14:paraId="59C005F3" w14:textId="77777777">
        <w:tc>
          <w:tcPr>
            <w:tcW w:w="1435" w:type="dxa"/>
          </w:tcPr>
          <w:p w14:paraId="32A960F9" w14:textId="77777777" w:rsidR="00252D50" w:rsidRDefault="00000000">
            <w:pPr>
              <w:spacing w:after="0" w:line="240" w:lineRule="auto"/>
            </w:pPr>
            <w:r>
              <w:t xml:space="preserve">1:20 P.M. – 2:20 P.M. </w:t>
            </w:r>
          </w:p>
        </w:tc>
        <w:tc>
          <w:tcPr>
            <w:tcW w:w="7920" w:type="dxa"/>
          </w:tcPr>
          <w:p w14:paraId="26FA11CA" w14:textId="77777777" w:rsidR="00252D50" w:rsidRDefault="00000000">
            <w:pPr>
              <w:pStyle w:val="Heading2"/>
            </w:pPr>
            <w:r>
              <w:t>PECC and APEC Senior Officials Luncheon -</w:t>
            </w:r>
            <w:r>
              <w:rPr>
                <w:b w:val="0"/>
                <w:bCs w:val="0"/>
              </w:rPr>
              <w:t xml:space="preserve"> </w:t>
            </w:r>
            <w:r>
              <w:t xml:space="preserve">Deep dive on generative AI </w:t>
            </w:r>
          </w:p>
          <w:p w14:paraId="62894A59" w14:textId="77777777" w:rsidR="00252D50" w:rsidRDefault="00000000">
            <w:pPr>
              <w:spacing w:after="0" w:line="240" w:lineRule="auto"/>
            </w:pPr>
            <w:r>
              <w:t>The emergence of generative AI technology is reinvigorating discussions about AI’s impacts on society, jobs, equity, and innovation. In this session panelist will discuss how generative AI works, the scope of its capabilities, potential applications, and the implications for policymakers seeking to maximize the benefits of this technology while mitigating its risks.</w:t>
            </w:r>
          </w:p>
          <w:p w14:paraId="47F61B9D" w14:textId="77777777" w:rsidR="00252D50" w:rsidRDefault="00252D50">
            <w:pPr>
              <w:spacing w:after="0" w:line="240" w:lineRule="auto"/>
            </w:pPr>
          </w:p>
          <w:p w14:paraId="478E235C" w14:textId="77777777" w:rsidR="00252D50" w:rsidRDefault="00000000">
            <w:pPr>
              <w:pStyle w:val="ListParagraph"/>
              <w:numPr>
                <w:ilvl w:val="0"/>
                <w:numId w:val="3"/>
              </w:numPr>
              <w:spacing w:after="0" w:line="240" w:lineRule="auto"/>
            </w:pPr>
            <w:r>
              <w:rPr>
                <w:b/>
                <w:bCs/>
              </w:rPr>
              <w:t>Aylin Caliskan</w:t>
            </w:r>
            <w:r>
              <w:t>, Assistant Professor, The Information School Paul G. Allen School of Computer Science &amp; Engineering, University of Washington and Nonresident Fellow in Governance at Brookings</w:t>
            </w:r>
          </w:p>
          <w:p w14:paraId="556AA54A" w14:textId="7D1875E2" w:rsidR="00E262AD" w:rsidRDefault="00E262AD">
            <w:pPr>
              <w:pStyle w:val="ListParagraph"/>
              <w:numPr>
                <w:ilvl w:val="0"/>
                <w:numId w:val="3"/>
              </w:numPr>
              <w:spacing w:after="0" w:line="240" w:lineRule="auto"/>
            </w:pPr>
            <w:r w:rsidRPr="00E262AD">
              <w:rPr>
                <w:b/>
                <w:bCs/>
              </w:rPr>
              <w:t>Antony Cook</w:t>
            </w:r>
            <w:r>
              <w:t xml:space="preserve">, </w:t>
            </w:r>
            <w:r w:rsidRPr="00E262AD">
              <w:t>Corporate Vice President and Deputy General Counsel</w:t>
            </w:r>
            <w:r>
              <w:t xml:space="preserve">, Microsoft </w:t>
            </w:r>
            <w:r w:rsidRPr="00E262AD">
              <w:t xml:space="preserve"> </w:t>
            </w:r>
          </w:p>
          <w:p w14:paraId="6B712090" w14:textId="77777777" w:rsidR="00E262AD" w:rsidRDefault="00E262AD" w:rsidP="00E262AD">
            <w:pPr>
              <w:pStyle w:val="ListParagraph"/>
              <w:spacing w:after="0" w:line="240" w:lineRule="auto"/>
              <w:ind w:left="360"/>
            </w:pPr>
          </w:p>
          <w:p w14:paraId="26017003" w14:textId="7753F87F" w:rsidR="00252D50" w:rsidRDefault="00000000">
            <w:pPr>
              <w:pStyle w:val="ListParagraph"/>
              <w:numPr>
                <w:ilvl w:val="0"/>
                <w:numId w:val="3"/>
              </w:numPr>
              <w:spacing w:after="0" w:line="240" w:lineRule="auto"/>
            </w:pPr>
            <w:r>
              <w:t xml:space="preserve">Moderator to be confirmed </w:t>
            </w:r>
          </w:p>
          <w:p w14:paraId="2032D91E" w14:textId="77777777" w:rsidR="00252D50" w:rsidRDefault="00252D50">
            <w:pPr>
              <w:spacing w:after="0" w:line="240" w:lineRule="auto"/>
            </w:pPr>
          </w:p>
        </w:tc>
      </w:tr>
      <w:tr w:rsidR="00252D50" w14:paraId="7D3651A7" w14:textId="77777777">
        <w:tc>
          <w:tcPr>
            <w:tcW w:w="1435" w:type="dxa"/>
          </w:tcPr>
          <w:p w14:paraId="36B12201" w14:textId="77777777" w:rsidR="00252D50" w:rsidRDefault="00000000">
            <w:pPr>
              <w:spacing w:after="0" w:line="240" w:lineRule="auto"/>
            </w:pPr>
            <w:r>
              <w:t xml:space="preserve">2:20 P.M. – 2:30 P.M.  </w:t>
            </w:r>
          </w:p>
        </w:tc>
        <w:tc>
          <w:tcPr>
            <w:tcW w:w="7920" w:type="dxa"/>
          </w:tcPr>
          <w:p w14:paraId="44725B54" w14:textId="77777777" w:rsidR="00252D50" w:rsidRDefault="00000000">
            <w:pPr>
              <w:pStyle w:val="Heading2"/>
            </w:pPr>
            <w:r>
              <w:t xml:space="preserve">Luncheon Closing Session </w:t>
            </w:r>
          </w:p>
          <w:p w14:paraId="72266C9F" w14:textId="08685F43" w:rsidR="00252D50" w:rsidRDefault="00000000" w:rsidP="00E262AD">
            <w:pPr>
              <w:pStyle w:val="ListParagraph"/>
              <w:numPr>
                <w:ilvl w:val="0"/>
                <w:numId w:val="10"/>
              </w:numPr>
              <w:spacing w:after="0" w:line="240" w:lineRule="auto"/>
            </w:pPr>
            <w:r>
              <w:t xml:space="preserve">APEC Senior Official </w:t>
            </w:r>
            <w:r w:rsidRPr="00E262AD">
              <w:rPr>
                <w:i/>
                <w:iCs/>
              </w:rPr>
              <w:t>(</w:t>
            </w:r>
            <w:r w:rsidR="00C61F36">
              <w:rPr>
                <w:i/>
                <w:iCs/>
              </w:rPr>
              <w:t>TBC</w:t>
            </w:r>
            <w:r w:rsidRPr="00E262AD">
              <w:rPr>
                <w:i/>
                <w:iCs/>
              </w:rPr>
              <w:t>)</w:t>
            </w:r>
            <w:r>
              <w:t xml:space="preserve"> </w:t>
            </w:r>
          </w:p>
          <w:p w14:paraId="4721F810" w14:textId="77777777" w:rsidR="00252D50" w:rsidRDefault="00252D50">
            <w:pPr>
              <w:pStyle w:val="ListParagraph"/>
              <w:spacing w:after="0" w:line="240" w:lineRule="auto"/>
            </w:pPr>
          </w:p>
        </w:tc>
      </w:tr>
      <w:tr w:rsidR="00252D50" w14:paraId="719F9572" w14:textId="77777777">
        <w:tc>
          <w:tcPr>
            <w:tcW w:w="1435" w:type="dxa"/>
          </w:tcPr>
          <w:p w14:paraId="27E77DB0" w14:textId="77777777" w:rsidR="00252D50" w:rsidRDefault="00000000">
            <w:pPr>
              <w:pStyle w:val="Header"/>
              <w:tabs>
                <w:tab w:val="clear" w:pos="4680"/>
                <w:tab w:val="clear" w:pos="9360"/>
              </w:tabs>
            </w:pPr>
            <w:r>
              <w:t xml:space="preserve">2:30 P.M. </w:t>
            </w:r>
          </w:p>
        </w:tc>
        <w:tc>
          <w:tcPr>
            <w:tcW w:w="7920" w:type="dxa"/>
          </w:tcPr>
          <w:p w14:paraId="76CD92E4" w14:textId="77777777" w:rsidR="00252D50" w:rsidRDefault="00000000">
            <w:pPr>
              <w:pStyle w:val="Heading2"/>
              <w:rPr>
                <w:b w:val="0"/>
                <w:bCs w:val="0"/>
              </w:rPr>
            </w:pPr>
            <w:r>
              <w:rPr>
                <w:b w:val="0"/>
                <w:bCs w:val="0"/>
              </w:rPr>
              <w:t xml:space="preserve">Concluding Remarks and invitation to join the U.S. and China joint event. </w:t>
            </w:r>
          </w:p>
          <w:p w14:paraId="47891962" w14:textId="3A4618A5" w:rsidR="00252D50" w:rsidRDefault="00000000" w:rsidP="00E262AD">
            <w:pPr>
              <w:pStyle w:val="ListParagraph"/>
              <w:numPr>
                <w:ilvl w:val="0"/>
                <w:numId w:val="10"/>
              </w:numPr>
              <w:spacing w:after="0" w:line="240" w:lineRule="auto"/>
            </w:pPr>
            <w:r w:rsidRPr="00E262AD">
              <w:rPr>
                <w:rFonts w:hint="eastAsia"/>
                <w:b/>
                <w:bCs/>
                <w:lang w:eastAsia="zh-CN"/>
              </w:rPr>
              <w:t>Ambassador, Zhan Yongxin</w:t>
            </w:r>
            <w:r>
              <w:t xml:space="preserve">, Chair, </w:t>
            </w:r>
            <w:r>
              <w:rPr>
                <w:rFonts w:hint="eastAsia"/>
                <w:lang w:eastAsia="zh-CN"/>
              </w:rPr>
              <w:t>China National Committee for Pacific Economic Cooperation</w:t>
            </w:r>
            <w:r>
              <w:t>, Co-Chair, Pacific Economic Cooperation Council</w:t>
            </w:r>
          </w:p>
        </w:tc>
      </w:tr>
    </w:tbl>
    <w:p w14:paraId="1235363F" w14:textId="77777777" w:rsidR="00252D50" w:rsidRDefault="00000000">
      <w:pPr>
        <w:pStyle w:val="Header"/>
        <w:shd w:val="clear" w:color="auto" w:fill="189AD6"/>
        <w:tabs>
          <w:tab w:val="clear" w:pos="4680"/>
          <w:tab w:val="clear" w:pos="9360"/>
        </w:tabs>
        <w:spacing w:line="259" w:lineRule="auto"/>
        <w:rPr>
          <w:b/>
          <w:bCs/>
          <w:color w:val="FFFFFF" w:themeColor="background1"/>
          <w:sz w:val="28"/>
          <w:szCs w:val="28"/>
        </w:rPr>
      </w:pPr>
      <w:r>
        <w:rPr>
          <w:b/>
          <w:bCs/>
          <w:color w:val="FFFFFF" w:themeColor="background1"/>
          <w:sz w:val="28"/>
          <w:szCs w:val="28"/>
        </w:rPr>
        <w:t>U.S. &amp; China Shared Experience – Local leadership for global green growth cities</w:t>
      </w:r>
    </w:p>
    <w:p w14:paraId="1E6EBDDE" w14:textId="5946AB30" w:rsidR="00252D50" w:rsidRDefault="0038757E">
      <w:pPr>
        <w:pStyle w:val="Header"/>
        <w:shd w:val="clear" w:color="auto" w:fill="189AD6"/>
        <w:tabs>
          <w:tab w:val="clear" w:pos="4680"/>
          <w:tab w:val="clear" w:pos="9360"/>
        </w:tabs>
        <w:spacing w:line="259" w:lineRule="auto"/>
        <w:rPr>
          <w:b/>
          <w:bCs/>
          <w:i/>
          <w:iCs/>
          <w:color w:val="FFFFFF" w:themeColor="background1"/>
          <w:sz w:val="28"/>
          <w:szCs w:val="28"/>
        </w:rPr>
      </w:pPr>
      <w:r>
        <w:rPr>
          <w:b/>
          <w:bCs/>
          <w:i/>
          <w:iCs/>
          <w:color w:val="FFFFFF" w:themeColor="background1"/>
          <w:sz w:val="28"/>
          <w:szCs w:val="28"/>
        </w:rPr>
        <w:t>Seattle Convention Center Summit Room 327-329</w:t>
      </w:r>
    </w:p>
    <w:tbl>
      <w:tblPr>
        <w:tblStyle w:val="TableGrid"/>
        <w:tblW w:w="9355" w:type="dxa"/>
        <w:tblLook w:val="04A0" w:firstRow="1" w:lastRow="0" w:firstColumn="1" w:lastColumn="0" w:noHBand="0" w:noVBand="1"/>
      </w:tblPr>
      <w:tblGrid>
        <w:gridCol w:w="1435"/>
        <w:gridCol w:w="7920"/>
      </w:tblGrid>
      <w:tr w:rsidR="00252D50" w14:paraId="3EF3E340" w14:textId="77777777">
        <w:tc>
          <w:tcPr>
            <w:tcW w:w="1435" w:type="dxa"/>
          </w:tcPr>
          <w:p w14:paraId="1976C338" w14:textId="77777777" w:rsidR="00252D50" w:rsidRDefault="00000000">
            <w:pPr>
              <w:spacing w:after="0" w:line="240" w:lineRule="auto"/>
            </w:pPr>
            <w:r>
              <w:lastRenderedPageBreak/>
              <w:t>Time</w:t>
            </w:r>
          </w:p>
        </w:tc>
        <w:tc>
          <w:tcPr>
            <w:tcW w:w="7920" w:type="dxa"/>
          </w:tcPr>
          <w:p w14:paraId="7C2BFF73" w14:textId="77777777" w:rsidR="00252D50" w:rsidRDefault="00000000">
            <w:pPr>
              <w:pStyle w:val="Header"/>
              <w:tabs>
                <w:tab w:val="clear" w:pos="4680"/>
                <w:tab w:val="clear" w:pos="9360"/>
              </w:tabs>
            </w:pPr>
            <w:r>
              <w:t>Session</w:t>
            </w:r>
          </w:p>
        </w:tc>
      </w:tr>
      <w:tr w:rsidR="00252D50" w14:paraId="60038A0F" w14:textId="77777777">
        <w:trPr>
          <w:trHeight w:val="602"/>
        </w:trPr>
        <w:tc>
          <w:tcPr>
            <w:tcW w:w="1435" w:type="dxa"/>
          </w:tcPr>
          <w:p w14:paraId="2D61ED7C" w14:textId="77777777" w:rsidR="00252D50" w:rsidRDefault="00000000">
            <w:pPr>
              <w:spacing w:after="0" w:line="240" w:lineRule="auto"/>
            </w:pPr>
            <w:r>
              <w:t xml:space="preserve">2:30 – 3:00 P.M.   </w:t>
            </w:r>
          </w:p>
        </w:tc>
        <w:tc>
          <w:tcPr>
            <w:tcW w:w="7920" w:type="dxa"/>
          </w:tcPr>
          <w:p w14:paraId="20E082B8" w14:textId="77777777" w:rsidR="00252D50" w:rsidRDefault="00000000">
            <w:pPr>
              <w:pStyle w:val="Header"/>
              <w:tabs>
                <w:tab w:val="clear" w:pos="4680"/>
                <w:tab w:val="clear" w:pos="9360"/>
              </w:tabs>
            </w:pPr>
            <w:r>
              <w:t>Event check-in and Coffee Break</w:t>
            </w:r>
          </w:p>
        </w:tc>
      </w:tr>
      <w:tr w:rsidR="00252D50" w14:paraId="2601C0C5" w14:textId="77777777">
        <w:tc>
          <w:tcPr>
            <w:tcW w:w="1435" w:type="dxa"/>
          </w:tcPr>
          <w:p w14:paraId="02D44AA7" w14:textId="77777777" w:rsidR="00252D50" w:rsidRDefault="00000000">
            <w:pPr>
              <w:spacing w:after="0" w:line="240" w:lineRule="auto"/>
            </w:pPr>
            <w:r>
              <w:t xml:space="preserve">3:00 – 3:05 P.M. </w:t>
            </w:r>
          </w:p>
          <w:p w14:paraId="25409D0B" w14:textId="77777777" w:rsidR="00252D50" w:rsidRDefault="00252D50">
            <w:pPr>
              <w:spacing w:after="0" w:line="240" w:lineRule="auto"/>
            </w:pPr>
          </w:p>
        </w:tc>
        <w:tc>
          <w:tcPr>
            <w:tcW w:w="7920" w:type="dxa"/>
          </w:tcPr>
          <w:p w14:paraId="3AD58790" w14:textId="77777777" w:rsidR="00252D50" w:rsidRDefault="00000000">
            <w:pPr>
              <w:pStyle w:val="Heading2"/>
              <w:rPr>
                <w:b w:val="0"/>
                <w:bCs w:val="0"/>
              </w:rPr>
            </w:pPr>
            <w:r>
              <w:rPr>
                <w:b w:val="0"/>
                <w:bCs w:val="0"/>
              </w:rPr>
              <w:t xml:space="preserve">Welcome and Program Overview </w:t>
            </w:r>
          </w:p>
          <w:p w14:paraId="2CBE849E" w14:textId="77777777" w:rsidR="00252D50" w:rsidRDefault="00000000" w:rsidP="00E262AD">
            <w:pPr>
              <w:pStyle w:val="ListParagraph"/>
              <w:numPr>
                <w:ilvl w:val="0"/>
                <w:numId w:val="10"/>
              </w:numPr>
              <w:spacing w:after="0" w:line="240" w:lineRule="auto"/>
            </w:pPr>
            <w:r w:rsidRPr="00E262AD">
              <w:rPr>
                <w:b/>
                <w:bCs/>
              </w:rPr>
              <w:t>Richard Cantor</w:t>
            </w:r>
            <w:r>
              <w:t>, Chair, U.S. Pacific Economic Cooperation Council, Co-Chair, Pacific Economic Cooperation Council, and Vice Chair, Moody’s Investors Service</w:t>
            </w:r>
          </w:p>
          <w:p w14:paraId="23F26B0E" w14:textId="77777777" w:rsidR="00252D50" w:rsidRDefault="00252D50">
            <w:pPr>
              <w:spacing w:after="0" w:line="240" w:lineRule="auto"/>
            </w:pPr>
          </w:p>
        </w:tc>
      </w:tr>
      <w:tr w:rsidR="00252D50" w14:paraId="7BD17FD6" w14:textId="77777777">
        <w:tc>
          <w:tcPr>
            <w:tcW w:w="1435" w:type="dxa"/>
          </w:tcPr>
          <w:p w14:paraId="2C4D0063" w14:textId="77777777" w:rsidR="00252D50" w:rsidRDefault="00000000">
            <w:pPr>
              <w:spacing w:after="0" w:line="240" w:lineRule="auto"/>
            </w:pPr>
            <w:r>
              <w:t xml:space="preserve">3:05 – 3:10 P.M. </w:t>
            </w:r>
          </w:p>
          <w:p w14:paraId="21149FFF" w14:textId="77777777" w:rsidR="00252D50" w:rsidRDefault="00252D50">
            <w:pPr>
              <w:spacing w:after="0" w:line="240" w:lineRule="auto"/>
            </w:pPr>
          </w:p>
        </w:tc>
        <w:tc>
          <w:tcPr>
            <w:tcW w:w="7920" w:type="dxa"/>
          </w:tcPr>
          <w:p w14:paraId="2F4ABECC" w14:textId="77777777" w:rsidR="00252D50" w:rsidRDefault="00000000">
            <w:pPr>
              <w:pStyle w:val="Heading2"/>
              <w:rPr>
                <w:b w:val="0"/>
                <w:bCs w:val="0"/>
                <w:lang w:eastAsia="zh-CN"/>
              </w:rPr>
            </w:pPr>
            <w:r>
              <w:rPr>
                <w:b w:val="0"/>
                <w:bCs w:val="0"/>
              </w:rPr>
              <w:t xml:space="preserve">Opening Remarks </w:t>
            </w:r>
          </w:p>
          <w:p w14:paraId="618664AF" w14:textId="77777777" w:rsidR="00252D50" w:rsidRDefault="00000000" w:rsidP="00E262AD">
            <w:pPr>
              <w:pStyle w:val="ListParagraph"/>
              <w:numPr>
                <w:ilvl w:val="0"/>
                <w:numId w:val="10"/>
              </w:numPr>
              <w:spacing w:after="0" w:line="240" w:lineRule="auto"/>
              <w:outlineLvl w:val="1"/>
              <w:rPr>
                <w:lang w:eastAsia="zh-CN"/>
              </w:rPr>
            </w:pPr>
            <w:r w:rsidRPr="00E262AD">
              <w:rPr>
                <w:rFonts w:hint="eastAsia"/>
                <w:b/>
                <w:bCs/>
                <w:lang w:eastAsia="zh-CN"/>
              </w:rPr>
              <w:t>Ambassador, Zhan Yongxin</w:t>
            </w:r>
            <w:r>
              <w:t xml:space="preserve">, Chair, </w:t>
            </w:r>
            <w:r>
              <w:rPr>
                <w:rFonts w:hint="eastAsia"/>
                <w:lang w:eastAsia="zh-CN"/>
              </w:rPr>
              <w:t>China National Committee for Pacific Economic Cooperation</w:t>
            </w:r>
            <w:r>
              <w:t>, Co-Chair, Pacific Economic Cooperation Council</w:t>
            </w:r>
          </w:p>
        </w:tc>
      </w:tr>
      <w:tr w:rsidR="00252D50" w14:paraId="4F2CE1A5" w14:textId="77777777" w:rsidTr="00D00C5B">
        <w:trPr>
          <w:trHeight w:val="3545"/>
        </w:trPr>
        <w:tc>
          <w:tcPr>
            <w:tcW w:w="1435" w:type="dxa"/>
          </w:tcPr>
          <w:p w14:paraId="2F223505" w14:textId="6E309312" w:rsidR="00252D50" w:rsidRDefault="00000000">
            <w:pPr>
              <w:pStyle w:val="Header"/>
              <w:tabs>
                <w:tab w:val="clear" w:pos="4680"/>
                <w:tab w:val="clear" w:pos="9360"/>
              </w:tabs>
            </w:pPr>
            <w:r>
              <w:t xml:space="preserve">3:10 – </w:t>
            </w:r>
            <w:r>
              <w:rPr>
                <w:rFonts w:hint="eastAsia"/>
                <w:lang w:eastAsia="zh-CN"/>
              </w:rPr>
              <w:t>3</w:t>
            </w:r>
            <w:r>
              <w:t>:</w:t>
            </w:r>
            <w:r>
              <w:rPr>
                <w:rFonts w:hint="eastAsia"/>
                <w:lang w:eastAsia="zh-CN"/>
              </w:rPr>
              <w:t>5</w:t>
            </w:r>
            <w:r>
              <w:t>0pm (</w:t>
            </w:r>
            <w:r>
              <w:rPr>
                <w:rFonts w:hint="eastAsia"/>
                <w:lang w:eastAsia="zh-CN"/>
              </w:rPr>
              <w:t>4</w:t>
            </w:r>
            <w:r>
              <w:t xml:space="preserve">0 minutes) </w:t>
            </w:r>
          </w:p>
        </w:tc>
        <w:tc>
          <w:tcPr>
            <w:tcW w:w="7920" w:type="dxa"/>
          </w:tcPr>
          <w:p w14:paraId="4E58D975" w14:textId="77777777" w:rsidR="00252D50" w:rsidRDefault="00000000">
            <w:pPr>
              <w:pStyle w:val="Heading2"/>
            </w:pPr>
            <w:r>
              <w:t xml:space="preserve">Sustainable Green Growth Cities – View from China </w:t>
            </w:r>
          </w:p>
          <w:p w14:paraId="419B32C6" w14:textId="3ABD3D43" w:rsidR="00252D50" w:rsidRDefault="00000000">
            <w:pPr>
              <w:spacing w:after="0" w:line="240" w:lineRule="auto"/>
            </w:pPr>
            <w:r>
              <w:t xml:space="preserve">China is working to facilitate sustainable green growth for its diverse cities. Officials from </w:t>
            </w:r>
            <w:r w:rsidR="00E262AD">
              <w:t xml:space="preserve">the </w:t>
            </w:r>
            <w:r>
              <w:rPr>
                <w:rFonts w:hint="eastAsia"/>
                <w:lang w:eastAsia="zh-CN"/>
              </w:rPr>
              <w:t xml:space="preserve">National Development and Reform Commission and </w:t>
            </w:r>
            <w:r>
              <w:t>two Chinese cities will share their experience</w:t>
            </w:r>
            <w:r>
              <w:rPr>
                <w:rFonts w:hint="eastAsia"/>
                <w:lang w:eastAsia="zh-CN"/>
              </w:rPr>
              <w:t>s</w:t>
            </w:r>
            <w:r>
              <w:t xml:space="preserve"> in promoting </w:t>
            </w:r>
            <w:r>
              <w:rPr>
                <w:rFonts w:hint="eastAsia"/>
                <w:lang w:eastAsia="zh-CN"/>
              </w:rPr>
              <w:t xml:space="preserve">sustainable </w:t>
            </w:r>
            <w:r>
              <w:t>green growth</w:t>
            </w:r>
            <w:r>
              <w:rPr>
                <w:rFonts w:hint="eastAsia"/>
                <w:lang w:eastAsia="zh-CN"/>
              </w:rPr>
              <w:t xml:space="preserve"> from their perspectives</w:t>
            </w:r>
            <w:r>
              <w:t>.</w:t>
            </w:r>
          </w:p>
          <w:p w14:paraId="51AA7148" w14:textId="77777777" w:rsidR="00E262AD" w:rsidRDefault="00E262AD">
            <w:pPr>
              <w:spacing w:after="0" w:line="240" w:lineRule="auto"/>
              <w:rPr>
                <w:lang w:eastAsia="zh-CN"/>
              </w:rPr>
            </w:pPr>
          </w:p>
          <w:p w14:paraId="79F7A487" w14:textId="77777777" w:rsidR="00252D50" w:rsidRDefault="00000000">
            <w:pPr>
              <w:spacing w:after="0" w:line="240" w:lineRule="auto"/>
              <w:rPr>
                <w:lang w:eastAsia="zh-CN"/>
              </w:rPr>
            </w:pPr>
            <w:r>
              <w:rPr>
                <w:rFonts w:hint="eastAsia"/>
                <w:lang w:eastAsia="zh-CN"/>
              </w:rPr>
              <w:t>Speakers:</w:t>
            </w:r>
          </w:p>
          <w:p w14:paraId="2C6FBDA3" w14:textId="1D815501" w:rsidR="00252D50" w:rsidRPr="00E262AD" w:rsidRDefault="00000000" w:rsidP="00E262AD">
            <w:pPr>
              <w:pStyle w:val="ListParagraph"/>
              <w:numPr>
                <w:ilvl w:val="0"/>
                <w:numId w:val="8"/>
              </w:numPr>
            </w:pPr>
            <w:r w:rsidRPr="00E262AD">
              <w:rPr>
                <w:rFonts w:hint="eastAsia"/>
                <w:b/>
                <w:bCs/>
              </w:rPr>
              <w:t>Director-General GAO Guoli</w:t>
            </w:r>
            <w:r w:rsidRPr="00E262AD">
              <w:rPr>
                <w:rFonts w:hint="eastAsia"/>
              </w:rPr>
              <w:t>, China Center for Urban Development, National Develeopment and Reform Commission</w:t>
            </w:r>
            <w:r w:rsidR="00E262AD">
              <w:t xml:space="preserve"> </w:t>
            </w:r>
            <w:r w:rsidRPr="00E262AD">
              <w:rPr>
                <w:rFonts w:hint="eastAsia"/>
              </w:rPr>
              <w:t>(video presentation)</w:t>
            </w:r>
          </w:p>
          <w:p w14:paraId="55CAF3F3" w14:textId="7E3BC00B" w:rsidR="00252D50" w:rsidRPr="00E262AD" w:rsidRDefault="00000000" w:rsidP="00E262AD">
            <w:pPr>
              <w:pStyle w:val="ListParagraph"/>
              <w:numPr>
                <w:ilvl w:val="0"/>
                <w:numId w:val="8"/>
              </w:numPr>
            </w:pPr>
            <w:r w:rsidRPr="00E262AD">
              <w:rPr>
                <w:b/>
                <w:bCs/>
              </w:rPr>
              <w:t>Prof. ZHANG Suian</w:t>
            </w:r>
            <w:r w:rsidRPr="00E262AD">
              <w:rPr>
                <w:rFonts w:hint="eastAsia"/>
              </w:rPr>
              <w:t>,</w:t>
            </w:r>
            <w:r w:rsidRPr="00E262AD">
              <w:t xml:space="preserve"> </w:t>
            </w:r>
            <w:r w:rsidRPr="00E262AD">
              <w:rPr>
                <w:rFonts w:hint="eastAsia"/>
              </w:rPr>
              <w:t>Council Member</w:t>
            </w:r>
            <w:r w:rsidRPr="00E262AD">
              <w:t xml:space="preserve"> of PECC-China</w:t>
            </w:r>
            <w:r w:rsidRPr="00E262AD">
              <w:rPr>
                <w:rFonts w:hint="eastAsia"/>
              </w:rPr>
              <w:t xml:space="preserve"> and </w:t>
            </w:r>
            <w:r w:rsidRPr="00E262AD">
              <w:t>President of Pacific Academy of Coalbed Methane at Shanxi Province</w:t>
            </w:r>
            <w:r w:rsidR="00E262AD">
              <w:t xml:space="preserve"> </w:t>
            </w:r>
            <w:r w:rsidRPr="00E262AD">
              <w:rPr>
                <w:rFonts w:hint="eastAsia"/>
              </w:rPr>
              <w:t>(video presentation)</w:t>
            </w:r>
          </w:p>
          <w:p w14:paraId="0303AB52" w14:textId="12C8B1D3" w:rsidR="00252D50" w:rsidRDefault="00000000" w:rsidP="00E262AD">
            <w:pPr>
              <w:pStyle w:val="ListParagraph"/>
              <w:numPr>
                <w:ilvl w:val="0"/>
                <w:numId w:val="8"/>
              </w:numPr>
              <w:rPr>
                <w:lang w:eastAsia="zh-CN"/>
              </w:rPr>
            </w:pPr>
            <w:r w:rsidRPr="00E262AD">
              <w:rPr>
                <w:rFonts w:hint="eastAsia"/>
                <w:b/>
                <w:bCs/>
              </w:rPr>
              <w:t>Mr. Ding Yi</w:t>
            </w:r>
            <w:r w:rsidRPr="00E262AD">
              <w:rPr>
                <w:rFonts w:hint="eastAsia"/>
              </w:rPr>
              <w:t>, Consultant, World Historic and Cultural Canal Cities Cooperation Organization</w:t>
            </w:r>
            <w:r w:rsidR="00E262AD">
              <w:t xml:space="preserve"> </w:t>
            </w:r>
            <w:r w:rsidRPr="00E262AD">
              <w:rPr>
                <w:rFonts w:hint="eastAsia"/>
              </w:rPr>
              <w:t>(WCCO</w:t>
            </w:r>
            <w:r w:rsidR="00E262AD">
              <w:t>)</w:t>
            </w:r>
          </w:p>
          <w:p w14:paraId="3ED0111A" w14:textId="77777777" w:rsidR="00252D50" w:rsidRDefault="00252D50">
            <w:pPr>
              <w:pStyle w:val="ListParagraph"/>
              <w:spacing w:after="0" w:line="240" w:lineRule="auto"/>
            </w:pPr>
          </w:p>
        </w:tc>
      </w:tr>
      <w:tr w:rsidR="00252D50" w14:paraId="0DB5D52C" w14:textId="77777777">
        <w:tc>
          <w:tcPr>
            <w:tcW w:w="1435" w:type="dxa"/>
          </w:tcPr>
          <w:p w14:paraId="07D96790" w14:textId="059F673A" w:rsidR="00252D50" w:rsidRDefault="00000000">
            <w:pPr>
              <w:pStyle w:val="Header"/>
              <w:tabs>
                <w:tab w:val="clear" w:pos="4680"/>
                <w:tab w:val="clear" w:pos="9360"/>
              </w:tabs>
            </w:pPr>
            <w:r>
              <w:rPr>
                <w:rFonts w:hint="eastAsia"/>
                <w:lang w:eastAsia="zh-CN"/>
              </w:rPr>
              <w:t>3</w:t>
            </w:r>
            <w:r>
              <w:t>:</w:t>
            </w:r>
            <w:r>
              <w:rPr>
                <w:rFonts w:hint="eastAsia"/>
                <w:lang w:eastAsia="zh-CN"/>
              </w:rPr>
              <w:t>5</w:t>
            </w:r>
            <w:r>
              <w:t>0 P.M. – 4:</w:t>
            </w:r>
            <w:r>
              <w:rPr>
                <w:rFonts w:hint="eastAsia"/>
                <w:lang w:eastAsia="zh-CN"/>
              </w:rPr>
              <w:t>3</w:t>
            </w:r>
            <w:r>
              <w:t>0 P.M. (</w:t>
            </w:r>
            <w:r>
              <w:rPr>
                <w:rFonts w:hint="eastAsia"/>
                <w:lang w:eastAsia="zh-CN"/>
              </w:rPr>
              <w:t>4</w:t>
            </w:r>
            <w:r>
              <w:t xml:space="preserve">0 minutes)  </w:t>
            </w:r>
          </w:p>
          <w:p w14:paraId="3A66B304" w14:textId="77777777" w:rsidR="00252D50" w:rsidRDefault="00000000">
            <w:pPr>
              <w:spacing w:after="0" w:line="240" w:lineRule="auto"/>
            </w:pPr>
            <w:r>
              <w:t xml:space="preserve"> </w:t>
            </w:r>
          </w:p>
        </w:tc>
        <w:tc>
          <w:tcPr>
            <w:tcW w:w="7920" w:type="dxa"/>
          </w:tcPr>
          <w:p w14:paraId="10EE60AB" w14:textId="77777777" w:rsidR="00252D50" w:rsidRDefault="00000000">
            <w:pPr>
              <w:pStyle w:val="Heading2"/>
            </w:pPr>
            <w:r>
              <w:t xml:space="preserve">Sustainable Green Growth Cities – View from U.S. </w:t>
            </w:r>
          </w:p>
          <w:p w14:paraId="23FF4D26" w14:textId="77777777" w:rsidR="00252D50" w:rsidRDefault="00000000">
            <w:pPr>
              <w:spacing w:after="0" w:line="240" w:lineRule="auto"/>
            </w:pPr>
            <w:r>
              <w:t xml:space="preserve">Ensuring sustainable green growth for American cities is a challenging endeavor involving many stakeholders, large investments, different levels of development, and diverse city needs which all must be centered on a holistic approach. </w:t>
            </w:r>
          </w:p>
          <w:p w14:paraId="143F7A28" w14:textId="77777777" w:rsidR="00252D50" w:rsidRDefault="00000000">
            <w:pPr>
              <w:spacing w:after="0" w:line="240" w:lineRule="auto"/>
            </w:pPr>
            <w:r>
              <w:t xml:space="preserve">Moderator: </w:t>
            </w:r>
          </w:p>
          <w:p w14:paraId="623E11B8" w14:textId="77777777" w:rsidR="00252D50" w:rsidRDefault="00000000">
            <w:pPr>
              <w:pStyle w:val="ListParagraph"/>
              <w:numPr>
                <w:ilvl w:val="0"/>
                <w:numId w:val="5"/>
              </w:numPr>
              <w:spacing w:after="0" w:line="240" w:lineRule="auto"/>
            </w:pPr>
            <w:r>
              <w:t xml:space="preserve">To be confirmed </w:t>
            </w:r>
          </w:p>
          <w:p w14:paraId="023A9ABC" w14:textId="77777777" w:rsidR="00252D50" w:rsidRDefault="00000000">
            <w:pPr>
              <w:spacing w:after="0" w:line="240" w:lineRule="auto"/>
            </w:pPr>
            <w:r>
              <w:t xml:space="preserve">Panelists: </w:t>
            </w:r>
          </w:p>
          <w:p w14:paraId="1D4EDE70" w14:textId="77777777" w:rsidR="00252D50" w:rsidRDefault="00000000">
            <w:pPr>
              <w:pStyle w:val="ListParagraph"/>
              <w:numPr>
                <w:ilvl w:val="0"/>
                <w:numId w:val="6"/>
              </w:numPr>
              <w:spacing w:after="0" w:line="240" w:lineRule="auto"/>
            </w:pPr>
            <w:r>
              <w:rPr>
                <w:b/>
                <w:bCs/>
              </w:rPr>
              <w:t>Jessyn Farrell</w:t>
            </w:r>
            <w:r>
              <w:t>, Director of the Office of Sustainability &amp; Environment, City of Seattle</w:t>
            </w:r>
          </w:p>
          <w:p w14:paraId="75B834BF" w14:textId="77777777" w:rsidR="00252D50" w:rsidRDefault="00000000">
            <w:pPr>
              <w:pStyle w:val="ListParagraph"/>
              <w:numPr>
                <w:ilvl w:val="0"/>
                <w:numId w:val="6"/>
              </w:numPr>
              <w:spacing w:after="0" w:line="240" w:lineRule="auto"/>
            </w:pPr>
            <w:r>
              <w:rPr>
                <w:b/>
                <w:bCs/>
              </w:rPr>
              <w:t>Caleb Weaver</w:t>
            </w:r>
            <w:r>
              <w:t>, Vice President of Public Affairs, Ridwell</w:t>
            </w:r>
          </w:p>
          <w:p w14:paraId="36CC6DDC" w14:textId="77777777" w:rsidR="00252D50" w:rsidRDefault="00000000">
            <w:pPr>
              <w:pStyle w:val="ListParagraph"/>
              <w:numPr>
                <w:ilvl w:val="0"/>
                <w:numId w:val="6"/>
              </w:numPr>
              <w:spacing w:after="0" w:line="240" w:lineRule="auto"/>
            </w:pPr>
            <w:r>
              <w:t xml:space="preserve">Final speaker to be confirmed </w:t>
            </w:r>
          </w:p>
          <w:p w14:paraId="6A4254A3" w14:textId="3CE5790C" w:rsidR="00252D50" w:rsidRDefault="00252D50" w:rsidP="00E262AD">
            <w:pPr>
              <w:spacing w:after="0" w:line="240" w:lineRule="auto"/>
            </w:pPr>
          </w:p>
        </w:tc>
      </w:tr>
      <w:tr w:rsidR="00252D50" w14:paraId="6DC7582C" w14:textId="77777777">
        <w:tc>
          <w:tcPr>
            <w:tcW w:w="1435" w:type="dxa"/>
          </w:tcPr>
          <w:p w14:paraId="13BFB84D" w14:textId="77777777" w:rsidR="00252D50" w:rsidRDefault="00000000">
            <w:pPr>
              <w:spacing w:after="0" w:line="240" w:lineRule="auto"/>
              <w:rPr>
                <w:lang w:eastAsia="zh-CN"/>
              </w:rPr>
            </w:pPr>
            <w:r>
              <w:rPr>
                <w:rFonts w:hint="eastAsia"/>
                <w:lang w:eastAsia="zh-CN"/>
              </w:rPr>
              <w:lastRenderedPageBreak/>
              <w:t>4:30P.M.</w:t>
            </w:r>
            <w:r>
              <w:t xml:space="preserve"> – 4:</w:t>
            </w:r>
            <w:r>
              <w:rPr>
                <w:rFonts w:hint="eastAsia"/>
                <w:lang w:eastAsia="zh-CN"/>
              </w:rPr>
              <w:t>5</w:t>
            </w:r>
            <w:r>
              <w:t>0 P.M. (</w:t>
            </w:r>
            <w:r>
              <w:rPr>
                <w:rFonts w:hint="eastAsia"/>
                <w:lang w:eastAsia="zh-CN"/>
              </w:rPr>
              <w:t>2</w:t>
            </w:r>
            <w:r>
              <w:t>0 minutes)</w:t>
            </w:r>
          </w:p>
        </w:tc>
        <w:tc>
          <w:tcPr>
            <w:tcW w:w="7920" w:type="dxa"/>
          </w:tcPr>
          <w:p w14:paraId="3D0E281B" w14:textId="77777777" w:rsidR="00252D50" w:rsidRDefault="00000000">
            <w:pPr>
              <w:pStyle w:val="Heading2"/>
            </w:pPr>
            <w:r>
              <w:t>Sustainable Green Growth Cities – View from</w:t>
            </w:r>
            <w:r>
              <w:rPr>
                <w:rFonts w:hint="eastAsia"/>
                <w:lang w:eastAsia="zh-CN"/>
              </w:rPr>
              <w:t xml:space="preserve"> other economies</w:t>
            </w:r>
            <w:r>
              <w:t xml:space="preserve"> </w:t>
            </w:r>
          </w:p>
          <w:p w14:paraId="63256E3F" w14:textId="77777777" w:rsidR="00252D50" w:rsidRDefault="00000000">
            <w:pPr>
              <w:spacing w:after="0" w:line="240" w:lineRule="auto"/>
              <w:rPr>
                <w:lang w:eastAsia="zh-CN"/>
              </w:rPr>
            </w:pPr>
            <w:r>
              <w:rPr>
                <w:rFonts w:hint="eastAsia"/>
                <w:lang w:eastAsia="zh-CN"/>
              </w:rPr>
              <w:t>Speakers:</w:t>
            </w:r>
          </w:p>
          <w:p w14:paraId="4F388156" w14:textId="03A08298" w:rsidR="00252D50" w:rsidRDefault="00000000" w:rsidP="00E262AD">
            <w:pPr>
              <w:pStyle w:val="ListParagraph"/>
              <w:numPr>
                <w:ilvl w:val="0"/>
                <w:numId w:val="5"/>
              </w:numPr>
              <w:spacing w:after="0" w:line="240" w:lineRule="auto"/>
            </w:pPr>
            <w:r>
              <w:t xml:space="preserve">To be confirmed </w:t>
            </w:r>
          </w:p>
          <w:p w14:paraId="45C69177" w14:textId="77777777" w:rsidR="00252D50" w:rsidRDefault="00252D50">
            <w:pPr>
              <w:pStyle w:val="Heading2"/>
              <w:rPr>
                <w:b w:val="0"/>
                <w:bCs w:val="0"/>
              </w:rPr>
            </w:pPr>
          </w:p>
        </w:tc>
      </w:tr>
      <w:tr w:rsidR="00252D50" w14:paraId="61A7AE91" w14:textId="77777777">
        <w:tc>
          <w:tcPr>
            <w:tcW w:w="1435" w:type="dxa"/>
          </w:tcPr>
          <w:p w14:paraId="138E76F0" w14:textId="77777777" w:rsidR="00252D50" w:rsidRDefault="00000000">
            <w:pPr>
              <w:spacing w:after="0" w:line="240" w:lineRule="auto"/>
            </w:pPr>
            <w:r>
              <w:t xml:space="preserve">4:50 – 5:00 P.M.  </w:t>
            </w:r>
          </w:p>
        </w:tc>
        <w:tc>
          <w:tcPr>
            <w:tcW w:w="7920" w:type="dxa"/>
          </w:tcPr>
          <w:p w14:paraId="5B759ED7" w14:textId="77777777" w:rsidR="00252D50" w:rsidRDefault="00000000" w:rsidP="00E262AD">
            <w:pPr>
              <w:pStyle w:val="Footer"/>
              <w:tabs>
                <w:tab w:val="clear" w:pos="4680"/>
                <w:tab w:val="clear" w:pos="9360"/>
              </w:tabs>
            </w:pPr>
            <w:r>
              <w:t>Audience Respondent</w:t>
            </w:r>
          </w:p>
          <w:p w14:paraId="4AB33F7D" w14:textId="77777777" w:rsidR="00E262AD" w:rsidRDefault="00E262AD">
            <w:pPr>
              <w:spacing w:after="0" w:line="240" w:lineRule="auto"/>
            </w:pPr>
          </w:p>
          <w:p w14:paraId="4A5B8D26" w14:textId="77777777" w:rsidR="00252D50" w:rsidRPr="00E262AD" w:rsidRDefault="00000000" w:rsidP="00E262AD">
            <w:pPr>
              <w:pStyle w:val="ListParagraph"/>
              <w:numPr>
                <w:ilvl w:val="0"/>
                <w:numId w:val="9"/>
              </w:numPr>
            </w:pPr>
            <w:r w:rsidRPr="00E262AD">
              <w:rPr>
                <w:b/>
                <w:bCs/>
              </w:rPr>
              <w:t>Richard Cantor</w:t>
            </w:r>
            <w:r w:rsidRPr="00E262AD">
              <w:t>, US-PECC Chair</w:t>
            </w:r>
          </w:p>
          <w:p w14:paraId="5E9872F0" w14:textId="11467317" w:rsidR="00252D50" w:rsidRDefault="00000000" w:rsidP="00E262AD">
            <w:pPr>
              <w:pStyle w:val="ListParagraph"/>
              <w:numPr>
                <w:ilvl w:val="0"/>
                <w:numId w:val="9"/>
              </w:numPr>
            </w:pPr>
            <w:r w:rsidRPr="00E262AD">
              <w:rPr>
                <w:rFonts w:hint="eastAsia"/>
                <w:b/>
                <w:bCs/>
              </w:rPr>
              <w:t>ZHU Li</w:t>
            </w:r>
            <w:r w:rsidRPr="00E262AD">
              <w:rPr>
                <w:rFonts w:hint="eastAsia"/>
              </w:rPr>
              <w:t xml:space="preserve">, President of APEC </w:t>
            </w:r>
            <w:r w:rsidR="00E262AD" w:rsidRPr="00E262AD">
              <w:t>Sustainable</w:t>
            </w:r>
            <w:r w:rsidRPr="00E262AD">
              <w:rPr>
                <w:rFonts w:hint="eastAsia"/>
              </w:rPr>
              <w:t xml:space="preserve"> Energy Center (TBC)</w:t>
            </w:r>
          </w:p>
          <w:p w14:paraId="197E4CB6" w14:textId="77777777" w:rsidR="00252D50" w:rsidRDefault="00000000">
            <w:pPr>
              <w:pStyle w:val="Heading2"/>
              <w:rPr>
                <w:b w:val="0"/>
                <w:bCs w:val="0"/>
              </w:rPr>
            </w:pPr>
            <w:r>
              <w:rPr>
                <w:b w:val="0"/>
                <w:bCs w:val="0"/>
              </w:rPr>
              <w:t xml:space="preserve"> Concluding Remarks</w:t>
            </w:r>
          </w:p>
          <w:p w14:paraId="1D51AEB2" w14:textId="77777777" w:rsidR="00252D50" w:rsidRDefault="00252D50">
            <w:pPr>
              <w:spacing w:after="0" w:line="240" w:lineRule="auto"/>
            </w:pPr>
          </w:p>
        </w:tc>
      </w:tr>
      <w:tr w:rsidR="00252D50" w14:paraId="6EE38040" w14:textId="77777777">
        <w:tc>
          <w:tcPr>
            <w:tcW w:w="1435" w:type="dxa"/>
          </w:tcPr>
          <w:p w14:paraId="78E0CA96" w14:textId="77777777" w:rsidR="00252D50" w:rsidRDefault="00000000">
            <w:pPr>
              <w:spacing w:after="0" w:line="240" w:lineRule="auto"/>
            </w:pPr>
            <w:r>
              <w:t xml:space="preserve">5:00 P.M. – 7:00 P.M. </w:t>
            </w:r>
          </w:p>
        </w:tc>
        <w:tc>
          <w:tcPr>
            <w:tcW w:w="7920" w:type="dxa"/>
          </w:tcPr>
          <w:p w14:paraId="62C8DB7E" w14:textId="77777777" w:rsidR="00252D50" w:rsidRDefault="00000000">
            <w:pPr>
              <w:pStyle w:val="Heading2"/>
              <w:rPr>
                <w:b w:val="0"/>
                <w:bCs w:val="0"/>
              </w:rPr>
            </w:pPr>
            <w:r>
              <w:rPr>
                <w:b w:val="0"/>
                <w:bCs w:val="0"/>
              </w:rPr>
              <w:t>Reception</w:t>
            </w:r>
          </w:p>
          <w:p w14:paraId="4E996C7B" w14:textId="77777777" w:rsidR="00252D50" w:rsidRDefault="00252D50">
            <w:pPr>
              <w:pStyle w:val="Heading2"/>
              <w:rPr>
                <w:b w:val="0"/>
                <w:bCs w:val="0"/>
              </w:rPr>
            </w:pPr>
          </w:p>
        </w:tc>
      </w:tr>
    </w:tbl>
    <w:p w14:paraId="28BC01BA" w14:textId="77777777" w:rsidR="00252D50" w:rsidRDefault="00252D50">
      <w:pPr>
        <w:rPr>
          <w:b/>
          <w:bCs/>
          <w:sz w:val="24"/>
          <w:szCs w:val="24"/>
        </w:rPr>
      </w:pPr>
    </w:p>
    <w:p w14:paraId="4F9AF464" w14:textId="77777777" w:rsidR="00252D50" w:rsidRDefault="00000000">
      <w:pPr>
        <w:pStyle w:val="NoSpacing"/>
        <w:jc w:val="center"/>
        <w:rPr>
          <w:b/>
          <w:bCs/>
          <w:sz w:val="24"/>
          <w:szCs w:val="24"/>
        </w:rPr>
      </w:pPr>
      <w:r>
        <w:rPr>
          <w:rFonts w:cstheme="minorHAnsi"/>
          <w:noProof/>
          <w:lang w:eastAsia="zh-CN"/>
        </w:rPr>
        <w:drawing>
          <wp:inline distT="0" distB="0" distL="0" distR="0" wp14:anchorId="64650E0D" wp14:editId="13D900D6">
            <wp:extent cx="2155190" cy="53340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8347" cy="539590"/>
                    </a:xfrm>
                    <a:prstGeom prst="rect">
                      <a:avLst/>
                    </a:prstGeom>
                  </pic:spPr>
                </pic:pic>
              </a:graphicData>
            </a:graphic>
          </wp:inline>
        </w:drawing>
      </w:r>
    </w:p>
    <w:p w14:paraId="069E8689" w14:textId="77777777" w:rsidR="00252D50" w:rsidRDefault="00252D50">
      <w:pPr>
        <w:pStyle w:val="NoSpacing"/>
        <w:jc w:val="center"/>
        <w:rPr>
          <w:b/>
          <w:bCs/>
          <w:sz w:val="24"/>
          <w:szCs w:val="24"/>
        </w:rPr>
      </w:pPr>
    </w:p>
    <w:p w14:paraId="0A9BDFF5" w14:textId="77777777" w:rsidR="00252D50" w:rsidRDefault="00000000">
      <w:pPr>
        <w:pStyle w:val="NoSpacing"/>
        <w:jc w:val="center"/>
        <w:rPr>
          <w:b/>
          <w:bCs/>
          <w:sz w:val="24"/>
          <w:szCs w:val="24"/>
        </w:rPr>
      </w:pPr>
      <w:r>
        <w:rPr>
          <w:b/>
          <w:bCs/>
          <w:sz w:val="24"/>
          <w:szCs w:val="24"/>
        </w:rPr>
        <w:t xml:space="preserve">PECC Administrative Meetings </w:t>
      </w:r>
    </w:p>
    <w:p w14:paraId="18EB7799" w14:textId="77777777" w:rsidR="00252D50" w:rsidRDefault="00000000">
      <w:pPr>
        <w:pStyle w:val="NoSpacing"/>
        <w:jc w:val="center"/>
        <w:rPr>
          <w:sz w:val="24"/>
          <w:szCs w:val="24"/>
        </w:rPr>
      </w:pPr>
      <w:r>
        <w:rPr>
          <w:sz w:val="24"/>
          <w:szCs w:val="24"/>
        </w:rPr>
        <w:t>For PECC Finance, Trust Protective, and Standing Committee Meeting members only.</w:t>
      </w:r>
    </w:p>
    <w:p w14:paraId="1C57E7E6" w14:textId="77777777" w:rsidR="00252D50" w:rsidRDefault="00000000">
      <w:pPr>
        <w:pStyle w:val="NoSpacing"/>
        <w:jc w:val="center"/>
        <w:rPr>
          <w:color w:val="FF0000"/>
          <w:sz w:val="24"/>
          <w:szCs w:val="24"/>
        </w:rPr>
      </w:pPr>
      <w:r>
        <w:rPr>
          <w:color w:val="FF0000"/>
          <w:sz w:val="24"/>
          <w:szCs w:val="24"/>
        </w:rPr>
        <w:t>(The evening before the PECC General Meeting)</w:t>
      </w:r>
    </w:p>
    <w:p w14:paraId="736828AF" w14:textId="77777777" w:rsidR="00252D50" w:rsidRDefault="00000000">
      <w:pPr>
        <w:spacing w:after="0"/>
        <w:jc w:val="center"/>
        <w:rPr>
          <w:rStyle w:val="SubtleEmphasis1"/>
          <w:i w:val="0"/>
          <w:iCs w:val="0"/>
          <w:color w:val="000000"/>
          <w14:textFill>
            <w14:solidFill>
              <w14:srgbClr w14:val="000000">
                <w14:lumMod w14:val="75000"/>
                <w14:lumOff w14:val="25000"/>
              </w14:srgbClr>
            </w14:solidFill>
          </w14:textFill>
        </w:rPr>
      </w:pPr>
      <w:r>
        <w:rPr>
          <w:rStyle w:val="SubtleEmphasis1"/>
          <w:i w:val="0"/>
          <w:iCs w:val="0"/>
          <w:color w:val="000000"/>
          <w14:textFill>
            <w14:solidFill>
              <w14:srgbClr w14:val="000000">
                <w14:lumMod w14:val="75000"/>
                <w14:lumOff w14:val="25000"/>
              </w14:srgbClr>
            </w14:solidFill>
          </w14:textFill>
        </w:rPr>
        <w:t>August 14 4:00 P.M. – 7:30 P.M. Seattle</w:t>
      </w:r>
    </w:p>
    <w:p w14:paraId="7DEDC25F" w14:textId="77777777" w:rsidR="00252D50" w:rsidRDefault="00000000">
      <w:pPr>
        <w:spacing w:after="0"/>
        <w:jc w:val="center"/>
        <w:rPr>
          <w:rStyle w:val="SubtleEmphasis1"/>
          <w:color w:val="FF0000"/>
          <w14:textFill>
            <w14:solidFill>
              <w14:srgbClr w14:val="FF0000">
                <w14:lumMod w14:val="75000"/>
                <w14:lumOff w14:val="25000"/>
              </w14:srgbClr>
            </w14:solidFill>
          </w14:textFill>
        </w:rPr>
      </w:pPr>
      <w:r>
        <w:rPr>
          <w:rStyle w:val="SubtleEmphasis1"/>
          <w:i w:val="0"/>
          <w:iCs w:val="0"/>
          <w:color w:val="000000"/>
          <w14:textFill>
            <w14:solidFill>
              <w14:srgbClr w14:val="000000">
                <w14:lumMod w14:val="75000"/>
                <w14:lumOff w14:val="25000"/>
              </w14:srgbClr>
            </w14:solidFill>
          </w14:textFill>
        </w:rPr>
        <w:t>August 15 7:00 A.M. – 10:30 A.M. Singapore</w:t>
      </w:r>
    </w:p>
    <w:p w14:paraId="2546C002" w14:textId="77777777" w:rsidR="00252D50" w:rsidRDefault="00252D50">
      <w:pPr>
        <w:pStyle w:val="Header"/>
        <w:tabs>
          <w:tab w:val="clear" w:pos="4680"/>
          <w:tab w:val="clear" w:pos="9360"/>
        </w:tabs>
        <w:spacing w:after="160" w:line="259" w:lineRule="auto"/>
      </w:pPr>
    </w:p>
    <w:p w14:paraId="365DC0DF" w14:textId="77777777" w:rsidR="00252D50" w:rsidRDefault="00000000">
      <w:pPr>
        <w:pStyle w:val="Header"/>
        <w:shd w:val="clear" w:color="auto" w:fill="189AD6"/>
        <w:tabs>
          <w:tab w:val="clear" w:pos="4680"/>
          <w:tab w:val="clear" w:pos="9360"/>
        </w:tabs>
        <w:spacing w:line="259" w:lineRule="auto"/>
        <w:rPr>
          <w:b/>
          <w:bCs/>
          <w:color w:val="FFFFFF" w:themeColor="background1"/>
          <w:sz w:val="28"/>
          <w:szCs w:val="28"/>
        </w:rPr>
      </w:pPr>
      <w:r>
        <w:rPr>
          <w:b/>
          <w:bCs/>
          <w:color w:val="FFFFFF" w:themeColor="background1"/>
          <w:sz w:val="28"/>
          <w:szCs w:val="28"/>
        </w:rPr>
        <w:t>PECC Finance, Trust Protective, and Standing Committee Meetings, August 14</w:t>
      </w:r>
    </w:p>
    <w:p w14:paraId="45BCEF6C" w14:textId="6DACA005" w:rsidR="00252D50" w:rsidRDefault="00000000">
      <w:pPr>
        <w:pStyle w:val="Header"/>
        <w:shd w:val="clear" w:color="auto" w:fill="189AD6"/>
        <w:tabs>
          <w:tab w:val="clear" w:pos="4680"/>
          <w:tab w:val="clear" w:pos="9360"/>
        </w:tabs>
        <w:spacing w:line="259" w:lineRule="auto"/>
        <w:rPr>
          <w:b/>
          <w:bCs/>
          <w:i/>
          <w:iCs/>
          <w:color w:val="FFFFFF" w:themeColor="background1"/>
          <w:sz w:val="28"/>
          <w:szCs w:val="28"/>
        </w:rPr>
      </w:pPr>
      <w:r>
        <w:rPr>
          <w:b/>
          <w:bCs/>
          <w:i/>
          <w:iCs/>
          <w:color w:val="FFFFFF" w:themeColor="background1"/>
          <w:sz w:val="28"/>
          <w:szCs w:val="28"/>
        </w:rPr>
        <w:t xml:space="preserve">Hybrid Event </w:t>
      </w:r>
      <w:r w:rsidR="0038757E">
        <w:rPr>
          <w:b/>
          <w:bCs/>
          <w:i/>
          <w:iCs/>
          <w:color w:val="FFFFFF" w:themeColor="background1"/>
          <w:sz w:val="28"/>
          <w:szCs w:val="28"/>
        </w:rPr>
        <w:t>Seattle Convention Center Summit Room 343-344</w:t>
      </w:r>
    </w:p>
    <w:tbl>
      <w:tblPr>
        <w:tblStyle w:val="TableGrid"/>
        <w:tblW w:w="0" w:type="auto"/>
        <w:tblInd w:w="108" w:type="dxa"/>
        <w:tblLook w:val="04A0" w:firstRow="1" w:lastRow="0" w:firstColumn="1" w:lastColumn="0" w:noHBand="0" w:noVBand="1"/>
      </w:tblPr>
      <w:tblGrid>
        <w:gridCol w:w="2022"/>
        <w:gridCol w:w="4264"/>
        <w:gridCol w:w="2956"/>
      </w:tblGrid>
      <w:tr w:rsidR="00252D50" w14:paraId="2D2B3F04" w14:textId="77777777" w:rsidTr="00E262AD">
        <w:tc>
          <w:tcPr>
            <w:tcW w:w="2047" w:type="dxa"/>
          </w:tcPr>
          <w:p w14:paraId="7C39D5DA" w14:textId="77777777" w:rsidR="00252D50" w:rsidRDefault="00000000">
            <w:pPr>
              <w:spacing w:after="0" w:line="240" w:lineRule="auto"/>
            </w:pPr>
            <w:r>
              <w:t>Time</w:t>
            </w:r>
          </w:p>
        </w:tc>
        <w:tc>
          <w:tcPr>
            <w:tcW w:w="4320" w:type="dxa"/>
          </w:tcPr>
          <w:p w14:paraId="51CE014F" w14:textId="77777777" w:rsidR="00252D50" w:rsidRDefault="00000000">
            <w:pPr>
              <w:pStyle w:val="Heading2"/>
              <w:rPr>
                <w:b w:val="0"/>
                <w:bCs w:val="0"/>
              </w:rPr>
            </w:pPr>
            <w:r>
              <w:rPr>
                <w:b w:val="0"/>
                <w:bCs w:val="0"/>
              </w:rPr>
              <w:t>Session</w:t>
            </w:r>
          </w:p>
        </w:tc>
        <w:tc>
          <w:tcPr>
            <w:tcW w:w="2993" w:type="dxa"/>
          </w:tcPr>
          <w:p w14:paraId="671509F1" w14:textId="77777777" w:rsidR="00252D50" w:rsidRDefault="00000000">
            <w:pPr>
              <w:pStyle w:val="Heading2"/>
              <w:rPr>
                <w:b w:val="0"/>
                <w:bCs w:val="0"/>
              </w:rPr>
            </w:pPr>
            <w:r>
              <w:rPr>
                <w:b w:val="0"/>
                <w:bCs w:val="0"/>
              </w:rPr>
              <w:t>Location</w:t>
            </w:r>
          </w:p>
        </w:tc>
      </w:tr>
      <w:tr w:rsidR="00252D50" w14:paraId="44AF734F" w14:textId="77777777" w:rsidTr="00E262AD">
        <w:tc>
          <w:tcPr>
            <w:tcW w:w="2047" w:type="dxa"/>
          </w:tcPr>
          <w:p w14:paraId="6F1D3579" w14:textId="77777777" w:rsidR="00252D50" w:rsidRDefault="00000000">
            <w:pPr>
              <w:spacing w:after="0" w:line="240" w:lineRule="auto"/>
            </w:pPr>
            <w:r>
              <w:t xml:space="preserve">4:00 – 4:30 P.M. </w:t>
            </w:r>
          </w:p>
        </w:tc>
        <w:tc>
          <w:tcPr>
            <w:tcW w:w="4320" w:type="dxa"/>
          </w:tcPr>
          <w:p w14:paraId="4E994590" w14:textId="77777777" w:rsidR="00252D50" w:rsidRDefault="00000000">
            <w:pPr>
              <w:pStyle w:val="Heading2"/>
              <w:rPr>
                <w:b w:val="0"/>
                <w:bCs w:val="0"/>
              </w:rPr>
            </w:pPr>
            <w:r>
              <w:rPr>
                <w:b w:val="0"/>
                <w:bCs w:val="0"/>
              </w:rPr>
              <w:t>PECC Trust Protective Committee Meeting</w:t>
            </w:r>
          </w:p>
          <w:p w14:paraId="690E80A6" w14:textId="77777777" w:rsidR="00252D50" w:rsidRDefault="00252D50">
            <w:pPr>
              <w:spacing w:after="0" w:line="240" w:lineRule="auto"/>
            </w:pPr>
          </w:p>
        </w:tc>
        <w:tc>
          <w:tcPr>
            <w:tcW w:w="2993" w:type="dxa"/>
          </w:tcPr>
          <w:p w14:paraId="6C6A4A40" w14:textId="77777777" w:rsidR="00252D50" w:rsidRDefault="00252D50">
            <w:pPr>
              <w:pStyle w:val="Heading2"/>
              <w:rPr>
                <w:b w:val="0"/>
                <w:bCs w:val="0"/>
              </w:rPr>
            </w:pPr>
          </w:p>
        </w:tc>
      </w:tr>
      <w:tr w:rsidR="00252D50" w14:paraId="58A8DAE3" w14:textId="77777777" w:rsidTr="00E262AD">
        <w:tc>
          <w:tcPr>
            <w:tcW w:w="2047" w:type="dxa"/>
          </w:tcPr>
          <w:p w14:paraId="19E7737F" w14:textId="77777777" w:rsidR="00252D50" w:rsidRDefault="00000000">
            <w:pPr>
              <w:spacing w:after="0" w:line="240" w:lineRule="auto"/>
            </w:pPr>
            <w:r>
              <w:t xml:space="preserve">4:30 – 5:30 P.M. </w:t>
            </w:r>
          </w:p>
          <w:p w14:paraId="5F4681C9" w14:textId="77777777" w:rsidR="00252D50" w:rsidRDefault="00252D50">
            <w:pPr>
              <w:spacing w:after="0" w:line="240" w:lineRule="auto"/>
            </w:pPr>
          </w:p>
        </w:tc>
        <w:tc>
          <w:tcPr>
            <w:tcW w:w="4320" w:type="dxa"/>
          </w:tcPr>
          <w:p w14:paraId="2EEDF422" w14:textId="77777777" w:rsidR="00252D50" w:rsidRDefault="00000000">
            <w:pPr>
              <w:pStyle w:val="Heading2"/>
              <w:rPr>
                <w:b w:val="0"/>
                <w:bCs w:val="0"/>
              </w:rPr>
            </w:pPr>
            <w:r>
              <w:rPr>
                <w:b w:val="0"/>
                <w:bCs w:val="0"/>
              </w:rPr>
              <w:t xml:space="preserve">PECC Finance Committee Meeting </w:t>
            </w:r>
          </w:p>
          <w:p w14:paraId="79BB7658" w14:textId="77777777" w:rsidR="00252D50" w:rsidRDefault="00252D50">
            <w:pPr>
              <w:spacing w:after="0" w:line="240" w:lineRule="auto"/>
            </w:pPr>
          </w:p>
        </w:tc>
        <w:tc>
          <w:tcPr>
            <w:tcW w:w="2993" w:type="dxa"/>
          </w:tcPr>
          <w:p w14:paraId="27B7FE70" w14:textId="77777777" w:rsidR="00252D50" w:rsidRDefault="00252D50">
            <w:pPr>
              <w:pStyle w:val="Heading2"/>
              <w:rPr>
                <w:b w:val="0"/>
                <w:bCs w:val="0"/>
              </w:rPr>
            </w:pPr>
          </w:p>
        </w:tc>
      </w:tr>
      <w:tr w:rsidR="00252D50" w14:paraId="568CCD03" w14:textId="77777777" w:rsidTr="00E262AD">
        <w:tc>
          <w:tcPr>
            <w:tcW w:w="2047" w:type="dxa"/>
          </w:tcPr>
          <w:p w14:paraId="60E22C40" w14:textId="77777777" w:rsidR="00252D50" w:rsidRDefault="00000000">
            <w:pPr>
              <w:spacing w:after="0" w:line="240" w:lineRule="auto"/>
            </w:pPr>
            <w:r>
              <w:t xml:space="preserve">5:30 – 7:30 P.M. </w:t>
            </w:r>
          </w:p>
        </w:tc>
        <w:tc>
          <w:tcPr>
            <w:tcW w:w="4320" w:type="dxa"/>
          </w:tcPr>
          <w:p w14:paraId="5FC881C5" w14:textId="77777777" w:rsidR="00252D50" w:rsidRDefault="00000000">
            <w:pPr>
              <w:pStyle w:val="Heading2"/>
              <w:rPr>
                <w:b w:val="0"/>
                <w:bCs w:val="0"/>
              </w:rPr>
            </w:pPr>
            <w:r>
              <w:rPr>
                <w:b w:val="0"/>
                <w:bCs w:val="0"/>
              </w:rPr>
              <w:t>PECC Standing Committee Meeting</w:t>
            </w:r>
          </w:p>
          <w:p w14:paraId="2A273956" w14:textId="77777777" w:rsidR="00252D50" w:rsidRDefault="00252D50">
            <w:pPr>
              <w:pStyle w:val="Heading2"/>
              <w:rPr>
                <w:b w:val="0"/>
                <w:bCs w:val="0"/>
              </w:rPr>
            </w:pPr>
          </w:p>
        </w:tc>
        <w:tc>
          <w:tcPr>
            <w:tcW w:w="2993" w:type="dxa"/>
          </w:tcPr>
          <w:p w14:paraId="3DCF58C2" w14:textId="77777777" w:rsidR="00252D50" w:rsidRDefault="00252D50">
            <w:pPr>
              <w:pStyle w:val="Heading2"/>
              <w:rPr>
                <w:b w:val="0"/>
                <w:bCs w:val="0"/>
              </w:rPr>
            </w:pPr>
          </w:p>
        </w:tc>
      </w:tr>
      <w:tr w:rsidR="00252D50" w14:paraId="1DD65BE0" w14:textId="77777777" w:rsidTr="00E262AD">
        <w:tc>
          <w:tcPr>
            <w:tcW w:w="2047" w:type="dxa"/>
          </w:tcPr>
          <w:p w14:paraId="72A1D151" w14:textId="77777777" w:rsidR="00252D50" w:rsidRDefault="00000000">
            <w:pPr>
              <w:spacing w:after="0" w:line="240" w:lineRule="auto"/>
            </w:pPr>
            <w:r>
              <w:t xml:space="preserve">7:30 P.M. </w:t>
            </w:r>
          </w:p>
        </w:tc>
        <w:tc>
          <w:tcPr>
            <w:tcW w:w="4320" w:type="dxa"/>
          </w:tcPr>
          <w:p w14:paraId="44E7F97A" w14:textId="77777777" w:rsidR="00252D50" w:rsidRDefault="00000000">
            <w:pPr>
              <w:pStyle w:val="Heading2"/>
              <w:rPr>
                <w:b w:val="0"/>
                <w:bCs w:val="0"/>
              </w:rPr>
            </w:pPr>
            <w:r>
              <w:rPr>
                <w:b w:val="0"/>
                <w:bCs w:val="0"/>
              </w:rPr>
              <w:t xml:space="preserve">Meeting conclusion. Free evening. </w:t>
            </w:r>
          </w:p>
          <w:p w14:paraId="125A8A46" w14:textId="77777777" w:rsidR="00252D50" w:rsidRDefault="00000000">
            <w:pPr>
              <w:pStyle w:val="Heading2"/>
              <w:rPr>
                <w:b w:val="0"/>
                <w:bCs w:val="0"/>
              </w:rPr>
            </w:pPr>
            <w:r>
              <w:rPr>
                <w:b w:val="0"/>
                <w:bCs w:val="0"/>
              </w:rPr>
              <w:t xml:space="preserve"> </w:t>
            </w:r>
          </w:p>
        </w:tc>
        <w:tc>
          <w:tcPr>
            <w:tcW w:w="2993" w:type="dxa"/>
          </w:tcPr>
          <w:p w14:paraId="367767D0" w14:textId="77777777" w:rsidR="00252D50" w:rsidRDefault="00252D50">
            <w:pPr>
              <w:pStyle w:val="Heading2"/>
              <w:rPr>
                <w:b w:val="0"/>
                <w:bCs w:val="0"/>
              </w:rPr>
            </w:pPr>
          </w:p>
        </w:tc>
      </w:tr>
    </w:tbl>
    <w:p w14:paraId="6CAA82B3" w14:textId="77777777" w:rsidR="00252D50" w:rsidRDefault="00252D50">
      <w:pPr>
        <w:pStyle w:val="Header"/>
        <w:tabs>
          <w:tab w:val="clear" w:pos="4680"/>
          <w:tab w:val="clear" w:pos="9360"/>
        </w:tabs>
        <w:spacing w:after="160" w:line="259" w:lineRule="auto"/>
      </w:pPr>
    </w:p>
    <w:sectPr w:rsidR="00252D5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50A0" w14:textId="77777777" w:rsidR="0050038B" w:rsidRDefault="0050038B">
      <w:pPr>
        <w:spacing w:line="240" w:lineRule="auto"/>
      </w:pPr>
      <w:r>
        <w:separator/>
      </w:r>
    </w:p>
  </w:endnote>
  <w:endnote w:type="continuationSeparator" w:id="0">
    <w:p w14:paraId="38D5898F" w14:textId="77777777" w:rsidR="0050038B" w:rsidRDefault="00500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332B0" w14:textId="77777777" w:rsidR="0050038B" w:rsidRDefault="0050038B">
      <w:pPr>
        <w:spacing w:after="0"/>
      </w:pPr>
      <w:r>
        <w:separator/>
      </w:r>
    </w:p>
  </w:footnote>
  <w:footnote w:type="continuationSeparator" w:id="0">
    <w:p w14:paraId="296C5480" w14:textId="77777777" w:rsidR="0050038B" w:rsidRDefault="005003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29CD" w14:textId="77777777" w:rsidR="00252D50" w:rsidRDefault="00000000">
    <w:pPr>
      <w:pStyle w:val="Header"/>
      <w:pBdr>
        <w:bottom w:val="single" w:sz="6" w:space="1" w:color="auto"/>
      </w:pBdr>
      <w:jc w:val="right"/>
    </w:pPr>
    <w:sdt>
      <w:sdtPr>
        <w:id w:val="-575820996"/>
      </w:sdtPr>
      <w:sdtContent>
        <w:r>
          <w:pict w14:anchorId="724CBA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DRAFT"/>
              <w10:wrap anchorx="margin" anchory="margin"/>
            </v:shape>
          </w:pict>
        </w:r>
      </w:sdtContent>
    </w:sdt>
    <w:r>
      <w:rPr>
        <w:noProof/>
        <w:lang w:eastAsia="zh-CN"/>
      </w:rPr>
      <w:drawing>
        <wp:inline distT="0" distB="0" distL="0" distR="0" wp14:anchorId="04990626" wp14:editId="7D8DA0C4">
          <wp:extent cx="814070" cy="1303020"/>
          <wp:effectExtent l="0" t="0" r="5080" b="0"/>
          <wp:docPr id="9583745" name="Picture 958374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745" name="Picture 9583745"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7426" cy="1307881"/>
                  </a:xfrm>
                  <a:prstGeom prst="rect">
                    <a:avLst/>
                  </a:prstGeom>
                </pic:spPr>
              </pic:pic>
            </a:graphicData>
          </a:graphic>
        </wp:inline>
      </w:drawing>
    </w:r>
  </w:p>
  <w:p w14:paraId="31FC9A01" w14:textId="77777777" w:rsidR="00252D50" w:rsidRDefault="00252D50">
    <w:pPr>
      <w:pStyle w:val="Header"/>
      <w:pBdr>
        <w:bottom w:val="single" w:sz="6" w:space="1" w:color="auto"/>
      </w:pBdr>
      <w:jc w:val="center"/>
    </w:pPr>
  </w:p>
  <w:p w14:paraId="42ACEE02" w14:textId="77777777" w:rsidR="00252D50" w:rsidRDefault="00252D50">
    <w:pPr>
      <w:pStyle w:val="Header"/>
      <w:jc w:val="center"/>
    </w:pPr>
  </w:p>
  <w:p w14:paraId="7F338DCD" w14:textId="77777777" w:rsidR="00252D50" w:rsidRDefault="00252D5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768"/>
    <w:multiLevelType w:val="multilevel"/>
    <w:tmpl w:val="00A577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C891EA4"/>
    <w:multiLevelType w:val="hybridMultilevel"/>
    <w:tmpl w:val="7F10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A7590"/>
    <w:multiLevelType w:val="hybridMultilevel"/>
    <w:tmpl w:val="D42E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628B3"/>
    <w:multiLevelType w:val="multilevel"/>
    <w:tmpl w:val="1DA628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E264D39"/>
    <w:multiLevelType w:val="hybridMultilevel"/>
    <w:tmpl w:val="8F7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E2274"/>
    <w:multiLevelType w:val="multilevel"/>
    <w:tmpl w:val="2A0E2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1B6F14"/>
    <w:multiLevelType w:val="multilevel"/>
    <w:tmpl w:val="361B6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537DB"/>
    <w:multiLevelType w:val="multilevel"/>
    <w:tmpl w:val="369537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747C10"/>
    <w:multiLevelType w:val="hybridMultilevel"/>
    <w:tmpl w:val="6EDC5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943BBB"/>
    <w:multiLevelType w:val="multilevel"/>
    <w:tmpl w:val="5D943B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8F177B"/>
    <w:multiLevelType w:val="hybridMultilevel"/>
    <w:tmpl w:val="05CA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B4BF5"/>
    <w:multiLevelType w:val="multilevel"/>
    <w:tmpl w:val="743B4BF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A12576F"/>
    <w:multiLevelType w:val="hybridMultilevel"/>
    <w:tmpl w:val="F090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6355">
    <w:abstractNumId w:val="3"/>
  </w:num>
  <w:num w:numId="2" w16cid:durableId="428081928">
    <w:abstractNumId w:val="7"/>
  </w:num>
  <w:num w:numId="3" w16cid:durableId="1493791562">
    <w:abstractNumId w:val="0"/>
  </w:num>
  <w:num w:numId="4" w16cid:durableId="877930382">
    <w:abstractNumId w:val="11"/>
  </w:num>
  <w:num w:numId="5" w16cid:durableId="441808744">
    <w:abstractNumId w:val="6"/>
  </w:num>
  <w:num w:numId="6" w16cid:durableId="1613826690">
    <w:abstractNumId w:val="5"/>
  </w:num>
  <w:num w:numId="7" w16cid:durableId="428431506">
    <w:abstractNumId w:val="9"/>
  </w:num>
  <w:num w:numId="8" w16cid:durableId="1180699381">
    <w:abstractNumId w:val="1"/>
  </w:num>
  <w:num w:numId="9" w16cid:durableId="256906788">
    <w:abstractNumId w:val="4"/>
  </w:num>
  <w:num w:numId="10" w16cid:durableId="1400712509">
    <w:abstractNumId w:val="8"/>
  </w:num>
  <w:num w:numId="11" w16cid:durableId="683556971">
    <w:abstractNumId w:val="12"/>
  </w:num>
  <w:num w:numId="12" w16cid:durableId="2000771390">
    <w:abstractNumId w:val="10"/>
  </w:num>
  <w:num w:numId="13" w16cid:durableId="2061901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k0OGU3NzM2Njk0OThlZWE1Y2FkMjI3MDA3YmZiNjcifQ=="/>
  </w:docVars>
  <w:rsids>
    <w:rsidRoot w:val="00162303"/>
    <w:rsid w:val="00007053"/>
    <w:rsid w:val="00024F5C"/>
    <w:rsid w:val="000655A6"/>
    <w:rsid w:val="000668B3"/>
    <w:rsid w:val="000701BB"/>
    <w:rsid w:val="00071E3B"/>
    <w:rsid w:val="00081F7B"/>
    <w:rsid w:val="00090D37"/>
    <w:rsid w:val="000A0051"/>
    <w:rsid w:val="000A1BB7"/>
    <w:rsid w:val="000A73E3"/>
    <w:rsid w:val="000C4BD3"/>
    <w:rsid w:val="000C5946"/>
    <w:rsid w:val="000C7657"/>
    <w:rsid w:val="000D2CC7"/>
    <w:rsid w:val="000E4C9C"/>
    <w:rsid w:val="000F23B0"/>
    <w:rsid w:val="000F4757"/>
    <w:rsid w:val="0010557E"/>
    <w:rsid w:val="00134D06"/>
    <w:rsid w:val="00162303"/>
    <w:rsid w:val="00172C18"/>
    <w:rsid w:val="0017333D"/>
    <w:rsid w:val="00185083"/>
    <w:rsid w:val="001913EB"/>
    <w:rsid w:val="001A5360"/>
    <w:rsid w:val="001B34C5"/>
    <w:rsid w:val="001B59E7"/>
    <w:rsid w:val="001B6BE4"/>
    <w:rsid w:val="001C123A"/>
    <w:rsid w:val="001C5A03"/>
    <w:rsid w:val="001D79B0"/>
    <w:rsid w:val="001E213B"/>
    <w:rsid w:val="001F0F30"/>
    <w:rsid w:val="00210D1E"/>
    <w:rsid w:val="0021758A"/>
    <w:rsid w:val="00222110"/>
    <w:rsid w:val="00233A24"/>
    <w:rsid w:val="00233E07"/>
    <w:rsid w:val="0023534F"/>
    <w:rsid w:val="00252D50"/>
    <w:rsid w:val="00254A79"/>
    <w:rsid w:val="00262F7C"/>
    <w:rsid w:val="00267DF3"/>
    <w:rsid w:val="0027005C"/>
    <w:rsid w:val="00271F2A"/>
    <w:rsid w:val="002725ED"/>
    <w:rsid w:val="00294D55"/>
    <w:rsid w:val="002A3716"/>
    <w:rsid w:val="002C7E6B"/>
    <w:rsid w:val="002D32DD"/>
    <w:rsid w:val="002D5262"/>
    <w:rsid w:val="002E3C2A"/>
    <w:rsid w:val="002E5565"/>
    <w:rsid w:val="002E7B7F"/>
    <w:rsid w:val="002F2712"/>
    <w:rsid w:val="002F73C8"/>
    <w:rsid w:val="00312B3C"/>
    <w:rsid w:val="00316318"/>
    <w:rsid w:val="003225CC"/>
    <w:rsid w:val="003362C4"/>
    <w:rsid w:val="003375B0"/>
    <w:rsid w:val="00384BD9"/>
    <w:rsid w:val="0038757E"/>
    <w:rsid w:val="003941A3"/>
    <w:rsid w:val="003A4E0C"/>
    <w:rsid w:val="003A53C7"/>
    <w:rsid w:val="003B4AD3"/>
    <w:rsid w:val="003C04FD"/>
    <w:rsid w:val="003C108B"/>
    <w:rsid w:val="003D357A"/>
    <w:rsid w:val="003D3816"/>
    <w:rsid w:val="003D61FA"/>
    <w:rsid w:val="003E26D6"/>
    <w:rsid w:val="00405768"/>
    <w:rsid w:val="00413FF1"/>
    <w:rsid w:val="00426606"/>
    <w:rsid w:val="00433B10"/>
    <w:rsid w:val="00434035"/>
    <w:rsid w:val="004461F8"/>
    <w:rsid w:val="00455C70"/>
    <w:rsid w:val="00472291"/>
    <w:rsid w:val="00476B78"/>
    <w:rsid w:val="00480AF2"/>
    <w:rsid w:val="00487A54"/>
    <w:rsid w:val="004A482E"/>
    <w:rsid w:val="004C18B1"/>
    <w:rsid w:val="004D0DBF"/>
    <w:rsid w:val="004E5C60"/>
    <w:rsid w:val="0050038B"/>
    <w:rsid w:val="00506FBB"/>
    <w:rsid w:val="0052174B"/>
    <w:rsid w:val="00544802"/>
    <w:rsid w:val="0055069F"/>
    <w:rsid w:val="005553A5"/>
    <w:rsid w:val="00555481"/>
    <w:rsid w:val="00574BDF"/>
    <w:rsid w:val="00576AAB"/>
    <w:rsid w:val="005A2057"/>
    <w:rsid w:val="005A2097"/>
    <w:rsid w:val="005B2DA6"/>
    <w:rsid w:val="005C3B12"/>
    <w:rsid w:val="005D579C"/>
    <w:rsid w:val="005F6CA5"/>
    <w:rsid w:val="006106C6"/>
    <w:rsid w:val="00611069"/>
    <w:rsid w:val="00611406"/>
    <w:rsid w:val="00611551"/>
    <w:rsid w:val="00622AAF"/>
    <w:rsid w:val="00627419"/>
    <w:rsid w:val="00630882"/>
    <w:rsid w:val="00633B09"/>
    <w:rsid w:val="006443E2"/>
    <w:rsid w:val="00655704"/>
    <w:rsid w:val="006618FD"/>
    <w:rsid w:val="006631FF"/>
    <w:rsid w:val="00667B73"/>
    <w:rsid w:val="006824D1"/>
    <w:rsid w:val="006834EE"/>
    <w:rsid w:val="00694EFB"/>
    <w:rsid w:val="006A03C5"/>
    <w:rsid w:val="006A3D1C"/>
    <w:rsid w:val="006A59ED"/>
    <w:rsid w:val="006B078C"/>
    <w:rsid w:val="006B260B"/>
    <w:rsid w:val="006C3505"/>
    <w:rsid w:val="006C4B74"/>
    <w:rsid w:val="006D642D"/>
    <w:rsid w:val="006D6C46"/>
    <w:rsid w:val="006E2B46"/>
    <w:rsid w:val="006E39F0"/>
    <w:rsid w:val="006E5AC2"/>
    <w:rsid w:val="00701DC1"/>
    <w:rsid w:val="007060A1"/>
    <w:rsid w:val="007172E1"/>
    <w:rsid w:val="007337DD"/>
    <w:rsid w:val="00735869"/>
    <w:rsid w:val="00735D30"/>
    <w:rsid w:val="00737B2F"/>
    <w:rsid w:val="00745AB3"/>
    <w:rsid w:val="00745FCB"/>
    <w:rsid w:val="0077764E"/>
    <w:rsid w:val="007828CA"/>
    <w:rsid w:val="0078391A"/>
    <w:rsid w:val="00797CF2"/>
    <w:rsid w:val="007A496E"/>
    <w:rsid w:val="007B2A8A"/>
    <w:rsid w:val="007B484F"/>
    <w:rsid w:val="007C631C"/>
    <w:rsid w:val="007C7676"/>
    <w:rsid w:val="007F60A4"/>
    <w:rsid w:val="008020CC"/>
    <w:rsid w:val="00804B1F"/>
    <w:rsid w:val="00805176"/>
    <w:rsid w:val="00807721"/>
    <w:rsid w:val="0081113A"/>
    <w:rsid w:val="00812E49"/>
    <w:rsid w:val="00817404"/>
    <w:rsid w:val="00822318"/>
    <w:rsid w:val="00823D29"/>
    <w:rsid w:val="00827AD5"/>
    <w:rsid w:val="0083378B"/>
    <w:rsid w:val="008355C2"/>
    <w:rsid w:val="008701DD"/>
    <w:rsid w:val="0087615F"/>
    <w:rsid w:val="00882A61"/>
    <w:rsid w:val="008A03B1"/>
    <w:rsid w:val="008D0E16"/>
    <w:rsid w:val="008D1DD2"/>
    <w:rsid w:val="008D3F83"/>
    <w:rsid w:val="008F0525"/>
    <w:rsid w:val="009121ED"/>
    <w:rsid w:val="009164F6"/>
    <w:rsid w:val="00923851"/>
    <w:rsid w:val="00954902"/>
    <w:rsid w:val="00954DDB"/>
    <w:rsid w:val="0096449E"/>
    <w:rsid w:val="009743A4"/>
    <w:rsid w:val="0098585C"/>
    <w:rsid w:val="009A1E24"/>
    <w:rsid w:val="009B62EC"/>
    <w:rsid w:val="009C5CA9"/>
    <w:rsid w:val="009D3D4A"/>
    <w:rsid w:val="009D554C"/>
    <w:rsid w:val="009D6C02"/>
    <w:rsid w:val="009E45A7"/>
    <w:rsid w:val="009F04BF"/>
    <w:rsid w:val="009F63F7"/>
    <w:rsid w:val="009F67A3"/>
    <w:rsid w:val="00A2323C"/>
    <w:rsid w:val="00A23415"/>
    <w:rsid w:val="00A24F9F"/>
    <w:rsid w:val="00A505C0"/>
    <w:rsid w:val="00A53A23"/>
    <w:rsid w:val="00A65DE3"/>
    <w:rsid w:val="00A701DB"/>
    <w:rsid w:val="00A77ABA"/>
    <w:rsid w:val="00A85CB7"/>
    <w:rsid w:val="00A90E1C"/>
    <w:rsid w:val="00AA7E4D"/>
    <w:rsid w:val="00AB4146"/>
    <w:rsid w:val="00AC27FD"/>
    <w:rsid w:val="00AD0587"/>
    <w:rsid w:val="00AD5C43"/>
    <w:rsid w:val="00B02155"/>
    <w:rsid w:val="00B11B0B"/>
    <w:rsid w:val="00B15ED7"/>
    <w:rsid w:val="00B222B4"/>
    <w:rsid w:val="00B2619F"/>
    <w:rsid w:val="00B37F05"/>
    <w:rsid w:val="00B41F27"/>
    <w:rsid w:val="00B4348D"/>
    <w:rsid w:val="00B4446C"/>
    <w:rsid w:val="00B536C3"/>
    <w:rsid w:val="00B80686"/>
    <w:rsid w:val="00B8320B"/>
    <w:rsid w:val="00B908FC"/>
    <w:rsid w:val="00B925E8"/>
    <w:rsid w:val="00B93595"/>
    <w:rsid w:val="00BA297F"/>
    <w:rsid w:val="00BA5B4B"/>
    <w:rsid w:val="00BB0552"/>
    <w:rsid w:val="00BB58AC"/>
    <w:rsid w:val="00BC4C2B"/>
    <w:rsid w:val="00BF736E"/>
    <w:rsid w:val="00C06A24"/>
    <w:rsid w:val="00C17CE4"/>
    <w:rsid w:val="00C202C7"/>
    <w:rsid w:val="00C2258E"/>
    <w:rsid w:val="00C315EA"/>
    <w:rsid w:val="00C4304E"/>
    <w:rsid w:val="00C47AE1"/>
    <w:rsid w:val="00C60439"/>
    <w:rsid w:val="00C61F36"/>
    <w:rsid w:val="00C64D9F"/>
    <w:rsid w:val="00C678B2"/>
    <w:rsid w:val="00CA0B0C"/>
    <w:rsid w:val="00CB279F"/>
    <w:rsid w:val="00CB7983"/>
    <w:rsid w:val="00CC2CE7"/>
    <w:rsid w:val="00CD046F"/>
    <w:rsid w:val="00CE63D5"/>
    <w:rsid w:val="00CF19F6"/>
    <w:rsid w:val="00CF1AE4"/>
    <w:rsid w:val="00D00C5B"/>
    <w:rsid w:val="00D06F27"/>
    <w:rsid w:val="00D078FC"/>
    <w:rsid w:val="00D143D7"/>
    <w:rsid w:val="00D25EF3"/>
    <w:rsid w:val="00D30849"/>
    <w:rsid w:val="00D450C3"/>
    <w:rsid w:val="00D52730"/>
    <w:rsid w:val="00D60DC8"/>
    <w:rsid w:val="00D6138D"/>
    <w:rsid w:val="00D653C1"/>
    <w:rsid w:val="00D93526"/>
    <w:rsid w:val="00D95EAE"/>
    <w:rsid w:val="00DA1F5F"/>
    <w:rsid w:val="00DC536F"/>
    <w:rsid w:val="00DD5259"/>
    <w:rsid w:val="00DE1699"/>
    <w:rsid w:val="00DE465A"/>
    <w:rsid w:val="00E00499"/>
    <w:rsid w:val="00E00A42"/>
    <w:rsid w:val="00E02CAD"/>
    <w:rsid w:val="00E1315F"/>
    <w:rsid w:val="00E2195E"/>
    <w:rsid w:val="00E23BF5"/>
    <w:rsid w:val="00E262AD"/>
    <w:rsid w:val="00E347B3"/>
    <w:rsid w:val="00E41E9E"/>
    <w:rsid w:val="00E62BD3"/>
    <w:rsid w:val="00E66B34"/>
    <w:rsid w:val="00E74197"/>
    <w:rsid w:val="00E751F3"/>
    <w:rsid w:val="00E93DA7"/>
    <w:rsid w:val="00E94FAE"/>
    <w:rsid w:val="00E973AF"/>
    <w:rsid w:val="00EA1F3B"/>
    <w:rsid w:val="00EB6799"/>
    <w:rsid w:val="00EB679A"/>
    <w:rsid w:val="00EB72B4"/>
    <w:rsid w:val="00EC114C"/>
    <w:rsid w:val="00ED4B7C"/>
    <w:rsid w:val="00ED5920"/>
    <w:rsid w:val="00EE43FA"/>
    <w:rsid w:val="00F07DDB"/>
    <w:rsid w:val="00F14EE5"/>
    <w:rsid w:val="00F158A6"/>
    <w:rsid w:val="00F16394"/>
    <w:rsid w:val="00F2125B"/>
    <w:rsid w:val="00F240DC"/>
    <w:rsid w:val="00F26C40"/>
    <w:rsid w:val="00F45963"/>
    <w:rsid w:val="00F45B50"/>
    <w:rsid w:val="00F470E2"/>
    <w:rsid w:val="00F47BD0"/>
    <w:rsid w:val="00F47DCC"/>
    <w:rsid w:val="00F51156"/>
    <w:rsid w:val="00F63147"/>
    <w:rsid w:val="00F642C1"/>
    <w:rsid w:val="00F84D63"/>
    <w:rsid w:val="00FA5B06"/>
    <w:rsid w:val="00FC4F61"/>
    <w:rsid w:val="00FC76BC"/>
    <w:rsid w:val="00FD7859"/>
    <w:rsid w:val="00FE4D94"/>
    <w:rsid w:val="08BF2364"/>
    <w:rsid w:val="1C6405EF"/>
    <w:rsid w:val="467B6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3CCE0"/>
  <w15:docId w15:val="{86274B10-38C0-4E27-BC55-A35FB284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spacing w:after="0" w:line="240" w:lineRule="auto"/>
      <w:outlineLvl w:val="1"/>
    </w:pPr>
    <w:rPr>
      <w:b/>
      <w:bCs/>
    </w:rPr>
  </w:style>
  <w:style w:type="paragraph" w:styleId="Heading3">
    <w:name w:val="heading 3"/>
    <w:basedOn w:val="Normal"/>
    <w:next w:val="Normal"/>
    <w:link w:val="Heading3Char"/>
    <w:uiPriority w:val="9"/>
    <w:unhideWhenUsed/>
    <w:qFormat/>
    <w:pPr>
      <w:keepNext/>
      <w:spacing w:after="0"/>
      <w:jc w:val="center"/>
      <w:outlineLvl w:val="2"/>
    </w:pPr>
    <w:rPr>
      <w:i/>
      <w:iCs/>
    </w:rPr>
  </w:style>
  <w:style w:type="paragraph" w:styleId="Heading4">
    <w:name w:val="heading 4"/>
    <w:basedOn w:val="Normal"/>
    <w:next w:val="Normal"/>
    <w:link w:val="Heading4Char"/>
    <w:uiPriority w:val="9"/>
    <w:unhideWhenUsed/>
    <w:qFormat/>
    <w:pPr>
      <w:keepNext/>
      <w:spacing w:after="0" w:line="240" w:lineRule="auto"/>
      <w:outlineLvl w:val="3"/>
    </w:pPr>
  </w:style>
  <w:style w:type="paragraph" w:styleId="Heading5">
    <w:name w:val="heading 5"/>
    <w:basedOn w:val="Normal"/>
    <w:next w:val="Normal"/>
    <w:link w:val="Heading5Char"/>
    <w:uiPriority w:val="9"/>
    <w:unhideWhenUsed/>
    <w:qFormat/>
    <w:pPr>
      <w:keepNext/>
      <w:spacing w:after="0"/>
      <w:jc w:val="cente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pPr>
      <w:spacing w:after="0" w:line="240" w:lineRule="auto"/>
    </w:pPr>
    <w:rPr>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tyle>
  <w:style w:type="paragraph" w:styleId="NoSpacing">
    <w:name w:val="No Spacing"/>
    <w:uiPriority w:val="1"/>
    <w:qFormat/>
    <w:rPr>
      <w:sz w:val="22"/>
      <w:szCs w:val="22"/>
    </w:rPr>
  </w:style>
  <w:style w:type="character" w:customStyle="1" w:styleId="SubtleEmphasis1">
    <w:name w:val="Subtle Emphasis1"/>
    <w:basedOn w:val="DefaultParagraphFont"/>
    <w:uiPriority w:val="19"/>
    <w:qFormat/>
    <w:rPr>
      <w:i/>
      <w:iCs/>
      <w:color w:val="404040" w:themeColor="text1" w:themeTint="BF"/>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b/>
      <w:bC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3Char">
    <w:name w:val="Heading 3 Char"/>
    <w:basedOn w:val="DefaultParagraphFont"/>
    <w:link w:val="Heading3"/>
    <w:uiPriority w:val="9"/>
    <w:rPr>
      <w:i/>
      <w:iCs/>
    </w:rPr>
  </w:style>
  <w:style w:type="paragraph" w:customStyle="1" w:styleId="Revision1">
    <w:name w:val="Revision1"/>
    <w:hidden/>
    <w:uiPriority w:val="99"/>
    <w:semiHidden/>
    <w:rPr>
      <w:sz w:val="22"/>
      <w:szCs w:val="22"/>
    </w:rPr>
  </w:style>
  <w:style w:type="character" w:customStyle="1" w:styleId="Heading4Char">
    <w:name w:val="Heading 4 Char"/>
    <w:basedOn w:val="DefaultParagraphFont"/>
    <w:link w:val="Heading4"/>
    <w:uiPriority w:val="9"/>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noteTextChar">
    <w:name w:val="Footnote Text Char"/>
    <w:basedOn w:val="DefaultParagraphFont"/>
    <w:link w:val="FootnoteText"/>
    <w:uiPriority w:val="99"/>
    <w:semiHidden/>
    <w:rPr>
      <w:sz w:val="20"/>
      <w:szCs w:val="20"/>
    </w:rPr>
  </w:style>
  <w:style w:type="character" w:customStyle="1" w:styleId="BalloonTextChar">
    <w:name w:val="Balloon Text Char"/>
    <w:basedOn w:val="DefaultParagraphFont"/>
    <w:link w:val="BalloonText"/>
    <w:uiPriority w:val="99"/>
    <w:semiHidden/>
    <w:rPr>
      <w:sz w:val="18"/>
      <w:szCs w:val="18"/>
    </w:rPr>
  </w:style>
  <w:style w:type="paragraph" w:styleId="Revision">
    <w:name w:val="Revision"/>
    <w:hidden/>
    <w:uiPriority w:val="99"/>
    <w:unhideWhenUsed/>
    <w:rsid w:val="00E262A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12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glueup.com/event/30th-pecc-general-meeting-73871/hom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Loraine Ashcraft Castillo</dc:creator>
  <cp:lastModifiedBy>Loraine Ashcraft Castillo</cp:lastModifiedBy>
  <cp:revision>6</cp:revision>
  <cp:lastPrinted>2023-02-12T21:31:00Z</cp:lastPrinted>
  <dcterms:created xsi:type="dcterms:W3CDTF">2023-07-12T17:37:00Z</dcterms:created>
  <dcterms:modified xsi:type="dcterms:W3CDTF">2023-07-12T22:51:00Z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4EE3107E239A480797290C10C5FB5361_13</vt:lpwstr>
  </property>
</Properties>
</file>